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6C" w:rsidRPr="00740088" w:rsidRDefault="003B386C" w:rsidP="0057553B">
      <w:pPr>
        <w:spacing w:line="360" w:lineRule="auto"/>
        <w:rPr>
          <w:rFonts w:asciiTheme="majorBidi" w:hAnsiTheme="majorBidi" w:cstheme="majorBidi"/>
          <w:b/>
          <w:bCs/>
          <w:sz w:val="44"/>
          <w:szCs w:val="44"/>
          <w:rtl/>
        </w:rPr>
      </w:pPr>
      <w:r w:rsidRPr="00740088">
        <w:rPr>
          <w:rFonts w:asciiTheme="majorBidi" w:hAnsiTheme="majorBidi" w:cstheme="majorBidi"/>
          <w:b/>
          <w:bCs/>
          <w:sz w:val="44"/>
          <w:szCs w:val="44"/>
          <w:rtl/>
        </w:rPr>
        <w:t>בין ספרדים למוסתערבים: המפגש החברתי והתרבותי של היהודים בצפת במאה הט"ז</w:t>
      </w:r>
      <w:r w:rsidR="002D4390">
        <w:rPr>
          <w:rStyle w:val="a5"/>
          <w:rFonts w:asciiTheme="majorBidi" w:hAnsiTheme="majorBidi" w:cstheme="majorBidi"/>
          <w:b/>
          <w:bCs/>
          <w:sz w:val="44"/>
          <w:szCs w:val="44"/>
          <w:rtl/>
        </w:rPr>
        <w:footnoteReference w:id="1"/>
      </w:r>
    </w:p>
    <w:p w:rsidR="00292860" w:rsidRDefault="00292860" w:rsidP="0057553B">
      <w:pPr>
        <w:spacing w:line="360" w:lineRule="auto"/>
        <w:rPr>
          <w:rFonts w:asciiTheme="majorBidi" w:hAnsiTheme="majorBidi" w:cstheme="majorBidi" w:hint="cs"/>
          <w:b/>
          <w:bCs/>
          <w:sz w:val="28"/>
          <w:szCs w:val="28"/>
          <w:rtl/>
        </w:rPr>
      </w:pPr>
    </w:p>
    <w:p w:rsidR="00740088" w:rsidRPr="00740088" w:rsidRDefault="00740088" w:rsidP="0057553B">
      <w:pPr>
        <w:spacing w:line="360" w:lineRule="auto"/>
        <w:rPr>
          <w:rFonts w:asciiTheme="majorBidi" w:hAnsiTheme="majorBidi" w:cstheme="majorBidi"/>
          <w:b/>
          <w:bCs/>
          <w:sz w:val="28"/>
          <w:szCs w:val="28"/>
          <w:rtl/>
        </w:rPr>
      </w:pPr>
      <w:r w:rsidRPr="00740088">
        <w:rPr>
          <w:rFonts w:asciiTheme="majorBidi" w:hAnsiTheme="majorBidi" w:cstheme="majorBidi"/>
          <w:b/>
          <w:bCs/>
          <w:sz w:val="28"/>
          <w:szCs w:val="28"/>
          <w:rtl/>
        </w:rPr>
        <w:t>הקדמה</w:t>
      </w:r>
    </w:p>
    <w:p w:rsidR="00740088" w:rsidRPr="00740088" w:rsidRDefault="00740088" w:rsidP="0057553B">
      <w:pPr>
        <w:pStyle w:val="a7"/>
        <w:tabs>
          <w:tab w:val="left" w:pos="720"/>
        </w:tabs>
        <w:spacing w:line="360" w:lineRule="auto"/>
        <w:rPr>
          <w:rFonts w:asciiTheme="majorBidi" w:hAnsiTheme="majorBidi" w:cstheme="majorBidi"/>
          <w:rtl/>
        </w:rPr>
      </w:pPr>
      <w:r>
        <w:rPr>
          <w:rFonts w:asciiTheme="majorBidi" w:hAnsiTheme="majorBidi" w:cstheme="majorBidi" w:hint="cs"/>
          <w:rtl/>
        </w:rPr>
        <w:t>סיפורה של ההתיישבות היהודית בצפת במאה הט"ז שונה ומיוחד מאוד בהשוואה לקהילות ישראל במרחבים גאוגרפיים והיסטוריים אחרים. בתוך שנים לא רבות עלתה קרנה, והיא היתה ל</w:t>
      </w:r>
      <w:r w:rsidRPr="00740088">
        <w:rPr>
          <w:rFonts w:asciiTheme="majorBidi" w:hAnsiTheme="majorBidi" w:cstheme="majorBidi"/>
          <w:rtl/>
        </w:rPr>
        <w:t xml:space="preserve">מרכז רוחני ודתי בעל השפעה עצומה </w:t>
      </w:r>
      <w:r>
        <w:rPr>
          <w:rFonts w:asciiTheme="majorBidi" w:hAnsiTheme="majorBidi" w:cstheme="majorBidi" w:hint="cs"/>
          <w:rtl/>
        </w:rPr>
        <w:t>בכל</w:t>
      </w:r>
      <w:r w:rsidRPr="00740088">
        <w:rPr>
          <w:rFonts w:asciiTheme="majorBidi" w:hAnsiTheme="majorBidi" w:cstheme="majorBidi"/>
          <w:rtl/>
        </w:rPr>
        <w:t xml:space="preserve"> תפוצות ישראל</w:t>
      </w:r>
      <w:r>
        <w:rPr>
          <w:rFonts w:asciiTheme="majorBidi" w:hAnsiTheme="majorBidi" w:cstheme="majorBidi" w:hint="cs"/>
          <w:rtl/>
        </w:rPr>
        <w:t>. כתבי ההלכה וההגות שיצאו ממנה והונחו תחת מכבשי הדפוס, בעיקר</w:t>
      </w:r>
      <w:r w:rsidRPr="00740088">
        <w:rPr>
          <w:rFonts w:asciiTheme="majorBidi" w:hAnsiTheme="majorBidi" w:cstheme="majorBidi"/>
          <w:rtl/>
        </w:rPr>
        <w:t xml:space="preserve"> מן המאה הי"ז ואילך</w:t>
      </w:r>
      <w:r>
        <w:rPr>
          <w:rFonts w:asciiTheme="majorBidi" w:hAnsiTheme="majorBidi" w:cstheme="majorBidi" w:hint="cs"/>
          <w:rtl/>
        </w:rPr>
        <w:t>, הטביעו חותם נצחי</w:t>
      </w:r>
      <w:r w:rsidRPr="00740088">
        <w:rPr>
          <w:rFonts w:asciiTheme="majorBidi" w:hAnsiTheme="majorBidi" w:cstheme="majorBidi"/>
          <w:rtl/>
        </w:rPr>
        <w:t xml:space="preserve"> בתחומי המחשבה, המוסר, ההלכה והמנהג</w:t>
      </w:r>
      <w:r>
        <w:rPr>
          <w:rFonts w:asciiTheme="majorBidi" w:hAnsiTheme="majorBidi" w:cstheme="majorBidi" w:hint="cs"/>
          <w:rtl/>
        </w:rPr>
        <w:t>, שהשפעתם ניכרת עד ימינו בדמותה ובצביונה של היהדות בעת החדשה</w:t>
      </w:r>
      <w:r w:rsidRPr="00740088">
        <w:rPr>
          <w:rFonts w:asciiTheme="majorBidi" w:hAnsiTheme="majorBidi" w:cstheme="majorBidi"/>
          <w:rtl/>
        </w:rPr>
        <w:t xml:space="preserve">. </w:t>
      </w:r>
    </w:p>
    <w:p w:rsidR="00740088" w:rsidRPr="00740088" w:rsidRDefault="00740088" w:rsidP="0057553B">
      <w:pPr>
        <w:spacing w:line="360" w:lineRule="auto"/>
        <w:rPr>
          <w:rFonts w:asciiTheme="majorBidi" w:hAnsiTheme="majorBidi" w:cstheme="majorBidi"/>
          <w:rtl/>
        </w:rPr>
      </w:pPr>
      <w:r w:rsidRPr="00740088">
        <w:rPr>
          <w:rFonts w:asciiTheme="majorBidi" w:hAnsiTheme="majorBidi" w:cstheme="majorBidi"/>
          <w:rtl/>
        </w:rPr>
        <w:t>פריחתה של צפת בתקופה זו באה לידי ביטוי בגידול דמוגרפי משמעותי ביותר, ובהפיכתה לריכוז היהודי הגדול ביותר בארץ ישראל.</w:t>
      </w:r>
      <w:r w:rsidR="002D4390">
        <w:rPr>
          <w:rFonts w:asciiTheme="majorBidi" w:hAnsiTheme="majorBidi" w:cstheme="majorBidi" w:hint="cs"/>
          <w:rtl/>
        </w:rPr>
        <w:t xml:space="preserve"> </w:t>
      </w:r>
      <w:r w:rsidR="002D4390" w:rsidRPr="00E57BF9">
        <w:rPr>
          <w:rFonts w:hint="cs"/>
          <w:rtl/>
        </w:rPr>
        <w:t>"זכתה עיר צפ"ת תוב"ב להיות מיושבת בעזר האל בהדרת עם קדש, יותר משא</w:t>
      </w:r>
      <w:r w:rsidR="002D4390">
        <w:rPr>
          <w:rFonts w:hint="cs"/>
          <w:rtl/>
        </w:rPr>
        <w:t>ר ערי הקודש של ארץ ישראל תוב"ב".</w:t>
      </w:r>
      <w:r w:rsidRPr="00740088">
        <w:rPr>
          <w:rStyle w:val="a5"/>
          <w:rFonts w:asciiTheme="majorBidi" w:hAnsiTheme="majorBidi" w:cstheme="majorBidi"/>
          <w:rtl/>
        </w:rPr>
        <w:footnoteReference w:id="2"/>
      </w:r>
      <w:r w:rsidRPr="00740088">
        <w:rPr>
          <w:rFonts w:asciiTheme="majorBidi" w:hAnsiTheme="majorBidi" w:cstheme="majorBidi"/>
          <w:rtl/>
        </w:rPr>
        <w:t xml:space="preserve"> תופעה זו לא אפיינה את צפת בהכרח, משום שאפיינה ריכוזי אוכלוסייה אחרים באימפריה העות'מאנית,</w:t>
      </w:r>
      <w:r w:rsidRPr="00740088">
        <w:rPr>
          <w:rStyle w:val="a5"/>
          <w:rFonts w:asciiTheme="majorBidi" w:hAnsiTheme="majorBidi" w:cstheme="majorBidi"/>
          <w:rtl/>
        </w:rPr>
        <w:footnoteReference w:id="3"/>
      </w:r>
      <w:r w:rsidRPr="00740088">
        <w:rPr>
          <w:rFonts w:asciiTheme="majorBidi" w:hAnsiTheme="majorBidi" w:cstheme="majorBidi"/>
          <w:rtl/>
        </w:rPr>
        <w:t xml:space="preserve"> אבל היא התייחדה בכך שמשכה אליה קיבוץ נדיר של תלמידי חכמים, משכילים וגדולי רוח. </w:t>
      </w:r>
      <w:r w:rsidR="00E554EE" w:rsidRPr="00E57BF9">
        <w:rPr>
          <w:rFonts w:hint="cs"/>
          <w:rtl/>
        </w:rPr>
        <w:t>"הרואה חכמי ישראל מברך 'ברוך שחלק מחכמתו ליריאיו', וכבר ראינו פה צפת שבגליל העליון חכמי</w:t>
      </w:r>
      <w:r w:rsidR="00E554EE">
        <w:rPr>
          <w:rFonts w:hint="cs"/>
          <w:rtl/>
        </w:rPr>
        <w:t>ם שהיה ראוי לברך עליהם ברכה זו".</w:t>
      </w:r>
      <w:r w:rsidR="00E554EE" w:rsidRPr="00740088">
        <w:rPr>
          <w:rStyle w:val="a5"/>
          <w:rFonts w:asciiTheme="majorBidi" w:hAnsiTheme="majorBidi" w:cstheme="majorBidi"/>
          <w:rtl/>
        </w:rPr>
        <w:footnoteReference w:id="4"/>
      </w:r>
      <w:r w:rsidR="00E554EE">
        <w:rPr>
          <w:rFonts w:hint="cs"/>
          <w:rtl/>
        </w:rPr>
        <w:t xml:space="preserve"> </w:t>
      </w:r>
      <w:r w:rsidRPr="00740088">
        <w:rPr>
          <w:rFonts w:asciiTheme="majorBidi" w:hAnsiTheme="majorBidi" w:cstheme="majorBidi"/>
          <w:rtl/>
        </w:rPr>
        <w:t>סביב דמויות בולטות התלקטו תלמידים ונוסדו בתי מדרש, ושמעה של צפת יצא בעולם כאחת מ"ערי הישיבות המפורסמות".</w:t>
      </w:r>
      <w:r w:rsidRPr="00740088">
        <w:rPr>
          <w:rStyle w:val="a5"/>
          <w:rFonts w:asciiTheme="majorBidi" w:hAnsiTheme="majorBidi" w:cstheme="majorBidi"/>
          <w:rtl/>
        </w:rPr>
        <w:footnoteReference w:id="5"/>
      </w:r>
      <w:r w:rsidRPr="00740088">
        <w:rPr>
          <w:rFonts w:asciiTheme="majorBidi" w:hAnsiTheme="majorBidi" w:cstheme="majorBidi"/>
          <w:rtl/>
        </w:rPr>
        <w:t xml:space="preserve">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במהלך המאה הט"ז רווחו מאוד הזיקות התרבותיות בין קיבוצים יהודיים ברחבי העולם, במיוחד על רקע גירוש ספרד.</w:t>
      </w:r>
      <w:r w:rsidRPr="00740088">
        <w:rPr>
          <w:rStyle w:val="a5"/>
          <w:rFonts w:asciiTheme="majorBidi" w:hAnsiTheme="majorBidi" w:cstheme="majorBidi"/>
          <w:rtl/>
        </w:rPr>
        <w:footnoteReference w:id="6"/>
      </w:r>
      <w:r w:rsidRPr="00740088">
        <w:rPr>
          <w:rFonts w:asciiTheme="majorBidi" w:hAnsiTheme="majorBidi" w:cstheme="majorBidi"/>
          <w:rtl/>
        </w:rPr>
        <w:t xml:space="preserve"> תנועת לומדים וחכמים בין הארצות השונות הביאה להשפעות הדדיות ולמזיגה בין מסורות שהזינו עצמן זו מזו.</w:t>
      </w:r>
      <w:r w:rsidRPr="00740088">
        <w:rPr>
          <w:rStyle w:val="a5"/>
          <w:rFonts w:asciiTheme="majorBidi" w:hAnsiTheme="majorBidi" w:cstheme="majorBidi"/>
          <w:rtl/>
        </w:rPr>
        <w:footnoteReference w:id="7"/>
      </w:r>
      <w:r w:rsidRPr="00740088">
        <w:rPr>
          <w:rFonts w:asciiTheme="majorBidi" w:hAnsiTheme="majorBidi" w:cstheme="majorBidi"/>
          <w:rtl/>
        </w:rPr>
        <w:t xml:space="preserve"> קביעה זו נכונה לגבי האימפריה העות'מאנית בכלל,</w:t>
      </w:r>
      <w:r w:rsidRPr="00740088">
        <w:rPr>
          <w:rStyle w:val="a5"/>
          <w:rFonts w:asciiTheme="majorBidi" w:hAnsiTheme="majorBidi" w:cstheme="majorBidi"/>
          <w:rtl/>
        </w:rPr>
        <w:footnoteReference w:id="8"/>
      </w:r>
      <w:r w:rsidRPr="00740088">
        <w:rPr>
          <w:rFonts w:asciiTheme="majorBidi" w:hAnsiTheme="majorBidi" w:cstheme="majorBidi"/>
          <w:rtl/>
        </w:rPr>
        <w:t xml:space="preserve"> ולגבי צפת שהייתה למרכז רוחני חשוב של מהגרים במחצית השנייה של המאה הט"ז בפרט.</w:t>
      </w:r>
      <w:r w:rsidRPr="00740088">
        <w:rPr>
          <w:rStyle w:val="a5"/>
          <w:rFonts w:asciiTheme="majorBidi" w:hAnsiTheme="majorBidi" w:cstheme="majorBidi"/>
          <w:rtl/>
        </w:rPr>
        <w:footnoteReference w:id="9"/>
      </w:r>
      <w:r w:rsidRPr="00740088">
        <w:rPr>
          <w:rFonts w:asciiTheme="majorBidi" w:hAnsiTheme="majorBidi" w:cstheme="majorBidi"/>
          <w:rtl/>
        </w:rPr>
        <w:t xml:space="preserve">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lastRenderedPageBreak/>
        <w:t>המהגרים הרבים מארצות מוצא שונות הביאו עמם לצפת מסורות ומנהגים שונים ומגוונים, וחשפו בפני בני מוצא אחר או התושבים המקומיים הוותיקים מנהגים שלא היו מוכרים בה. במפגשים כאלו היה גלום פוטנציאל רב להתנגשות חברתית, כפי שארע בריכוזים יהודיים אחרים בתקופה זו.</w:t>
      </w:r>
      <w:r w:rsidRPr="00740088">
        <w:rPr>
          <w:rStyle w:val="a5"/>
          <w:rFonts w:asciiTheme="majorBidi" w:hAnsiTheme="majorBidi" w:cstheme="majorBidi"/>
          <w:rtl/>
        </w:rPr>
        <w:footnoteReference w:id="10"/>
      </w:r>
      <w:r w:rsidRPr="00740088">
        <w:rPr>
          <w:rFonts w:asciiTheme="majorBidi" w:hAnsiTheme="majorBidi" w:cstheme="majorBidi"/>
          <w:rtl/>
        </w:rPr>
        <w:t xml:space="preserve"> הואיל ומדובר בחברה אחת שבניה התגוררו בעיר אחת, גם אם היו מאוגדים בקהלים שונים, נדרשה התייחסות למצבים חדשים שנתעוררו עקב השוני בין המהגרים ומנהגיהם. על רקע התמורות הללו דנו חכמי התקופה בתוקפו של המנהג המייצג מסורת חדשה, לעומת המנהג ואף ההלכה המייצגים מסורת ותיקה וקבועה, והתמודדו עם המתחים החברתיים שנתגלעו על רקע המפגש התרבותי, כדלהלן. </w:t>
      </w:r>
    </w:p>
    <w:p w:rsidR="003B386C" w:rsidRDefault="00AE4CD8" w:rsidP="0057553B">
      <w:pPr>
        <w:spacing w:line="360" w:lineRule="auto"/>
        <w:rPr>
          <w:rFonts w:asciiTheme="majorBidi" w:hAnsiTheme="majorBidi" w:cstheme="majorBidi" w:hint="cs"/>
          <w:rtl/>
        </w:rPr>
      </w:pPr>
      <w:r>
        <w:rPr>
          <w:rFonts w:asciiTheme="majorBidi" w:hAnsiTheme="majorBidi" w:cstheme="majorBidi" w:hint="cs"/>
          <w:rtl/>
        </w:rPr>
        <w:t>ראוי לציין ש</w:t>
      </w:r>
      <w:r w:rsidR="003B386C" w:rsidRPr="00740088">
        <w:rPr>
          <w:rFonts w:asciiTheme="majorBidi" w:hAnsiTheme="majorBidi" w:cstheme="majorBidi"/>
          <w:rtl/>
        </w:rPr>
        <w:t>בצפת התחדשו גם מנהגים חדשים, כגון על ידי האר"י,</w:t>
      </w:r>
      <w:r w:rsidR="003B386C" w:rsidRPr="00740088">
        <w:rPr>
          <w:rStyle w:val="a5"/>
          <w:rFonts w:asciiTheme="majorBidi" w:hAnsiTheme="majorBidi" w:cstheme="majorBidi"/>
          <w:rtl/>
        </w:rPr>
        <w:footnoteReference w:id="11"/>
      </w:r>
      <w:r w:rsidR="003B386C" w:rsidRPr="00740088">
        <w:rPr>
          <w:rFonts w:asciiTheme="majorBidi" w:hAnsiTheme="majorBidi" w:cstheme="majorBidi"/>
          <w:rtl/>
        </w:rPr>
        <w:t xml:space="preserve"> ר' ישראל די קוריאל</w:t>
      </w:r>
      <w:r w:rsidR="003B386C" w:rsidRPr="00740088">
        <w:rPr>
          <w:rStyle w:val="a5"/>
          <w:rFonts w:asciiTheme="majorBidi" w:hAnsiTheme="majorBidi" w:cstheme="majorBidi"/>
          <w:rtl/>
        </w:rPr>
        <w:footnoteReference w:id="12"/>
      </w:r>
      <w:r w:rsidR="003B386C" w:rsidRPr="00740088">
        <w:rPr>
          <w:rFonts w:asciiTheme="majorBidi" w:hAnsiTheme="majorBidi" w:cstheme="majorBidi"/>
          <w:rtl/>
        </w:rPr>
        <w:t xml:space="preserve"> ואחרים,</w:t>
      </w:r>
      <w:r w:rsidR="003B386C" w:rsidRPr="00740088">
        <w:rPr>
          <w:rStyle w:val="a5"/>
          <w:rFonts w:asciiTheme="majorBidi" w:hAnsiTheme="majorBidi" w:cstheme="majorBidi"/>
          <w:rtl/>
        </w:rPr>
        <w:footnoteReference w:id="13"/>
      </w:r>
      <w:r w:rsidR="003B386C" w:rsidRPr="00740088">
        <w:rPr>
          <w:rFonts w:asciiTheme="majorBidi" w:hAnsiTheme="majorBidi" w:cstheme="majorBidi"/>
          <w:rtl/>
        </w:rPr>
        <w:t xml:space="preserve"> ונראה שמציאות כזו אפשרית במיוחד בחברה שדפוסי התנהגותה מצויים בתהליכי התגבשות, שכן בחברה עם דפוסי התנהלות יצוקים וקבועים, חדירתן של הנהגות חדשות קשה בהרבה. המחשה למצב המיוחד של מפגש מסורות ומנהגים היא עיסוקו של רדב"ז בהזדמנויות שונות בגדרי איסור 'לא תתגודדו', שאותו הרחיב לאיסור פילוג הציבור באמצעות מנהגי תפילה סותרים.</w:t>
      </w:r>
      <w:r w:rsidR="003B386C" w:rsidRPr="00740088">
        <w:rPr>
          <w:rStyle w:val="a5"/>
          <w:rFonts w:asciiTheme="majorBidi" w:hAnsiTheme="majorBidi" w:cstheme="majorBidi"/>
          <w:rtl/>
        </w:rPr>
        <w:footnoteReference w:id="14"/>
      </w:r>
    </w:p>
    <w:p w:rsidR="00292860" w:rsidRDefault="00292860" w:rsidP="0057553B">
      <w:pPr>
        <w:spacing w:line="360" w:lineRule="auto"/>
        <w:rPr>
          <w:rFonts w:asciiTheme="majorBidi" w:hAnsiTheme="majorBidi" w:cstheme="majorBidi" w:hint="cs"/>
          <w:rtl/>
        </w:rPr>
      </w:pPr>
    </w:p>
    <w:p w:rsidR="00292860" w:rsidRPr="00292860" w:rsidRDefault="00292860" w:rsidP="0057553B">
      <w:pPr>
        <w:spacing w:line="360" w:lineRule="auto"/>
        <w:rPr>
          <w:rFonts w:asciiTheme="majorBidi" w:hAnsiTheme="majorBidi" w:cstheme="majorBidi" w:hint="cs"/>
          <w:b/>
          <w:bCs/>
          <w:sz w:val="28"/>
          <w:szCs w:val="28"/>
          <w:rtl/>
        </w:rPr>
      </w:pPr>
      <w:r w:rsidRPr="00292860">
        <w:rPr>
          <w:rFonts w:asciiTheme="majorBidi" w:hAnsiTheme="majorBidi" w:cstheme="majorBidi" w:hint="cs"/>
          <w:b/>
          <w:bCs/>
          <w:sz w:val="28"/>
          <w:szCs w:val="28"/>
          <w:rtl/>
        </w:rPr>
        <w:t>1. קהל המוסתערבים</w:t>
      </w:r>
      <w:r w:rsidR="00A37EA0">
        <w:rPr>
          <w:rFonts w:asciiTheme="majorBidi" w:hAnsiTheme="majorBidi" w:cstheme="majorBidi" w:hint="cs"/>
          <w:b/>
          <w:bCs/>
          <w:sz w:val="28"/>
          <w:szCs w:val="28"/>
          <w:rtl/>
        </w:rPr>
        <w:t xml:space="preserve"> בצפת</w:t>
      </w:r>
    </w:p>
    <w:p w:rsidR="00A37EA0" w:rsidRPr="00740088" w:rsidRDefault="00A37EA0" w:rsidP="0057553B">
      <w:pPr>
        <w:spacing w:line="360" w:lineRule="auto"/>
        <w:rPr>
          <w:rFonts w:asciiTheme="majorBidi" w:hAnsiTheme="majorBidi" w:cstheme="majorBidi"/>
          <w:rtl/>
        </w:rPr>
      </w:pPr>
      <w:r>
        <w:rPr>
          <w:rFonts w:asciiTheme="majorBidi" w:hAnsiTheme="majorBidi" w:cstheme="majorBidi" w:hint="cs"/>
          <w:rtl/>
        </w:rPr>
        <w:t>במרכז דיוננו להלן יעמוד המתח שנתגלע בין הספרדים לבין קהל המוסתערבים בצפת במאה הט"ז, על רקע מפגש של מסורות תפילה.</w:t>
      </w:r>
    </w:p>
    <w:p w:rsidR="00292860" w:rsidRDefault="00292860" w:rsidP="0057553B">
      <w:pPr>
        <w:spacing w:line="360" w:lineRule="auto"/>
        <w:rPr>
          <w:rFonts w:hint="cs"/>
          <w:rtl/>
        </w:rPr>
      </w:pPr>
      <w:r>
        <w:rPr>
          <w:rFonts w:hint="cs"/>
          <w:rtl/>
        </w:rPr>
        <w:t xml:space="preserve">ידיעותינו על </w:t>
      </w:r>
      <w:r>
        <w:rPr>
          <w:rFonts w:hint="cs"/>
          <w:rtl/>
        </w:rPr>
        <w:t xml:space="preserve">קהל </w:t>
      </w:r>
      <w:r>
        <w:rPr>
          <w:rFonts w:hint="cs"/>
          <w:rtl/>
        </w:rPr>
        <w:t>המוסתערבים בארצות המזרח התיכון במאה הט"ז</w:t>
      </w:r>
      <w:r>
        <w:rPr>
          <w:rFonts w:hint="cs"/>
          <w:rtl/>
        </w:rPr>
        <w:t xml:space="preserve"> מצ</w:t>
      </w:r>
      <w:r w:rsidR="00EA63C1">
        <w:rPr>
          <w:rFonts w:hint="cs"/>
          <w:rtl/>
        </w:rPr>
        <w:t>ומצמות יחסית</w:t>
      </w:r>
      <w:r>
        <w:rPr>
          <w:rFonts w:hint="cs"/>
          <w:rtl/>
        </w:rPr>
        <w:t>. רק לאחרונה התפרסם מחקר מקיף ראשון אודותם,</w:t>
      </w:r>
      <w:r>
        <w:rPr>
          <w:rStyle w:val="a5"/>
          <w:rtl/>
        </w:rPr>
        <w:footnoteReference w:id="15"/>
      </w:r>
      <w:r>
        <w:rPr>
          <w:rFonts w:hint="cs"/>
          <w:rtl/>
        </w:rPr>
        <w:t xml:space="preserve"> ועד אז היו מעטים</w:t>
      </w:r>
      <w:r>
        <w:rPr>
          <w:rFonts w:hint="cs"/>
          <w:rtl/>
        </w:rPr>
        <w:t xml:space="preserve"> </w:t>
      </w:r>
      <w:r>
        <w:rPr>
          <w:rFonts w:hint="cs"/>
          <w:rtl/>
        </w:rPr>
        <w:t>ש</w:t>
      </w:r>
      <w:r>
        <w:rPr>
          <w:rFonts w:hint="cs"/>
          <w:rtl/>
        </w:rPr>
        <w:t>עסקו בהם.</w:t>
      </w:r>
      <w:r w:rsidRPr="00545F3C">
        <w:rPr>
          <w:rStyle w:val="a5"/>
          <w:rtl/>
        </w:rPr>
        <w:footnoteReference w:id="16"/>
      </w:r>
      <w:r>
        <w:rPr>
          <w:rFonts w:hint="cs"/>
          <w:rtl/>
        </w:rPr>
        <w:t xml:space="preserve"> ככלל, </w:t>
      </w:r>
      <w:r w:rsidRPr="00545F3C">
        <w:rPr>
          <w:rFonts w:hint="cs"/>
          <w:rtl/>
        </w:rPr>
        <w:t>המוסתערבים נחשבו לוותיקי הארץ ולתושביה הקדמונים, כפי שנמסר בשנת רי"ד: "המסתערבים, והם יהודים אשר הם ואבותיהם נתגדלו פה, ואינם ספרדים".</w:t>
      </w:r>
      <w:r w:rsidRPr="00545F3C">
        <w:rPr>
          <w:rStyle w:val="a5"/>
          <w:rtl/>
        </w:rPr>
        <w:footnoteReference w:id="17"/>
      </w:r>
      <w:r w:rsidRPr="00545F3C">
        <w:rPr>
          <w:rFonts w:hint="cs"/>
          <w:rtl/>
        </w:rPr>
        <w:t xml:space="preserve"> </w:t>
      </w:r>
      <w:r>
        <w:rPr>
          <w:rFonts w:hint="cs"/>
          <w:rtl/>
        </w:rPr>
        <w:t>כיוון</w:t>
      </w:r>
      <w:r w:rsidRPr="00545F3C">
        <w:rPr>
          <w:rFonts w:hint="cs"/>
          <w:rtl/>
        </w:rPr>
        <w:t xml:space="preserve"> שגם יהודי הכפרים בגליל נחשבו לוותיקי הארץ,</w:t>
      </w:r>
      <w:r w:rsidRPr="00545F3C">
        <w:rPr>
          <w:rStyle w:val="a5"/>
          <w:rtl/>
        </w:rPr>
        <w:footnoteReference w:id="18"/>
      </w:r>
      <w:r w:rsidRPr="00545F3C">
        <w:rPr>
          <w:rFonts w:hint="cs"/>
          <w:rtl/>
        </w:rPr>
        <w:t xml:space="preserve"> ייתכן לקשור בין קהילותיהם לבין המוסתערבים.</w:t>
      </w:r>
      <w:r w:rsidR="00E4496D">
        <w:rPr>
          <w:rStyle w:val="a5"/>
          <w:rtl/>
        </w:rPr>
        <w:footnoteReference w:id="19"/>
      </w:r>
    </w:p>
    <w:p w:rsidR="00586ECB" w:rsidRPr="00545F3C" w:rsidRDefault="00586ECB" w:rsidP="0057553B">
      <w:pPr>
        <w:spacing w:line="360" w:lineRule="auto"/>
        <w:rPr>
          <w:rFonts w:hint="cs"/>
          <w:rtl/>
        </w:rPr>
      </w:pPr>
      <w:r w:rsidRPr="00740088">
        <w:rPr>
          <w:rFonts w:asciiTheme="majorBidi" w:hAnsiTheme="majorBidi" w:cstheme="majorBidi"/>
          <w:rtl/>
        </w:rPr>
        <w:lastRenderedPageBreak/>
        <w:t>יהודים אלה החזיקו במנהגים משלהם,</w:t>
      </w:r>
      <w:r w:rsidRPr="00740088">
        <w:rPr>
          <w:rStyle w:val="a5"/>
          <w:rFonts w:asciiTheme="majorBidi" w:hAnsiTheme="majorBidi" w:cstheme="majorBidi"/>
          <w:rtl/>
        </w:rPr>
        <w:footnoteReference w:id="20"/>
      </w:r>
      <w:r w:rsidRPr="00740088">
        <w:rPr>
          <w:rFonts w:asciiTheme="majorBidi" w:hAnsiTheme="majorBidi" w:cstheme="majorBidi"/>
          <w:rtl/>
        </w:rPr>
        <w:t xml:space="preserve"> ולפי מסורתם שיקפו את המסורת הארץ ישראלית הקדומה:</w:t>
      </w:r>
      <w:r w:rsidRPr="00740088">
        <w:rPr>
          <w:rStyle w:val="a5"/>
          <w:rFonts w:asciiTheme="majorBidi" w:hAnsiTheme="majorBidi" w:cstheme="majorBidi"/>
          <w:rtl/>
        </w:rPr>
        <w:footnoteReference w:id="21"/>
      </w:r>
      <w:r w:rsidRPr="00740088">
        <w:rPr>
          <w:rFonts w:asciiTheme="majorBidi" w:hAnsiTheme="majorBidi" w:cstheme="majorBidi"/>
          <w:rtl/>
        </w:rPr>
        <w:t xml:space="preserve"> "בני ארץ ישראל, התושבים הקדמונים יצ"ו, שכן אחזו כמנהג אבותיהם שמימות גאוני הארץ הראשונים ז"ל, שחקר כבודם כבוד";</w:t>
      </w:r>
      <w:r w:rsidRPr="00740088">
        <w:rPr>
          <w:rStyle w:val="a5"/>
          <w:rFonts w:asciiTheme="majorBidi" w:hAnsiTheme="majorBidi" w:cstheme="majorBidi"/>
          <w:rtl/>
        </w:rPr>
        <w:footnoteReference w:id="22"/>
      </w:r>
      <w:r w:rsidRPr="00740088">
        <w:rPr>
          <w:rFonts w:asciiTheme="majorBidi" w:hAnsiTheme="majorBidi" w:cstheme="majorBidi"/>
          <w:rtl/>
        </w:rPr>
        <w:t xml:space="preserve"> "הם התושבים הקדמונים בארץ, כך עדיין נוהגים על פי ראשונים קדמוניהם חכמי דורותיהם זצ"ל".</w:t>
      </w:r>
      <w:r w:rsidRPr="00740088">
        <w:rPr>
          <w:rStyle w:val="a5"/>
          <w:rFonts w:asciiTheme="majorBidi" w:hAnsiTheme="majorBidi" w:cstheme="majorBidi"/>
          <w:rtl/>
        </w:rPr>
        <w:footnoteReference w:id="23"/>
      </w:r>
    </w:p>
    <w:p w:rsidR="00292860" w:rsidRPr="00292860" w:rsidRDefault="00292860" w:rsidP="0057553B">
      <w:pPr>
        <w:spacing w:line="360" w:lineRule="auto"/>
        <w:rPr>
          <w:rFonts w:hint="cs"/>
          <w:rtl/>
        </w:rPr>
      </w:pPr>
      <w:r>
        <w:rPr>
          <w:rFonts w:hint="cs"/>
          <w:rtl/>
        </w:rPr>
        <w:t>בשלהי התקופה הממלוכית</w:t>
      </w:r>
      <w:r w:rsidRPr="00545F3C">
        <w:rPr>
          <w:rFonts w:hint="cs"/>
          <w:rtl/>
        </w:rPr>
        <w:t xml:space="preserve"> היו המוסתערבים רוב מכריע באוכלוסייה היהודית בצפת.</w:t>
      </w:r>
      <w:r w:rsidRPr="00545F3C">
        <w:rPr>
          <w:rStyle w:val="a5"/>
          <w:rtl/>
        </w:rPr>
        <w:footnoteReference w:id="24"/>
      </w:r>
      <w:r w:rsidRPr="00545F3C">
        <w:rPr>
          <w:rFonts w:hint="cs"/>
          <w:rtl/>
        </w:rPr>
        <w:t xml:space="preserve"> קהלם מוכר מראשית המאה הט"ז,</w:t>
      </w:r>
      <w:r w:rsidRPr="00545F3C">
        <w:rPr>
          <w:rStyle w:val="a5"/>
          <w:rtl/>
        </w:rPr>
        <w:footnoteReference w:id="25"/>
      </w:r>
      <w:r w:rsidRPr="00545F3C">
        <w:rPr>
          <w:rFonts w:hint="cs"/>
          <w:rtl/>
        </w:rPr>
        <w:t xml:space="preserve"> ועל בית כנסת משלהם נמסר בשנת 1522.</w:t>
      </w:r>
      <w:r w:rsidRPr="00545F3C">
        <w:rPr>
          <w:rStyle w:val="a5"/>
          <w:rtl/>
        </w:rPr>
        <w:footnoteReference w:id="26"/>
      </w:r>
      <w:r w:rsidRPr="00545F3C">
        <w:rPr>
          <w:rFonts w:hint="cs"/>
          <w:rtl/>
        </w:rPr>
        <w:t xml:space="preserve"> הקהל נזכר בשנים ש"ה-ש"ח,</w:t>
      </w:r>
      <w:r w:rsidRPr="00545F3C">
        <w:rPr>
          <w:rStyle w:val="a5"/>
          <w:rtl/>
        </w:rPr>
        <w:footnoteReference w:id="27"/>
      </w:r>
      <w:r w:rsidRPr="00545F3C">
        <w:rPr>
          <w:rFonts w:hint="cs"/>
          <w:rtl/>
        </w:rPr>
        <w:t xml:space="preserve"> שי"ט</w:t>
      </w:r>
      <w:r w:rsidRPr="00545F3C">
        <w:rPr>
          <w:rStyle w:val="a5"/>
          <w:rtl/>
        </w:rPr>
        <w:footnoteReference w:id="28"/>
      </w:r>
      <w:r w:rsidRPr="00545F3C">
        <w:rPr>
          <w:rFonts w:hint="cs"/>
          <w:rtl/>
        </w:rPr>
        <w:t xml:space="preserve"> ובהזדמנויות שונות באמצע </w:t>
      </w:r>
      <w:r>
        <w:rPr>
          <w:rFonts w:hint="cs"/>
          <w:rtl/>
        </w:rPr>
        <w:t>המאה הט"ז.</w:t>
      </w:r>
      <w:r w:rsidRPr="00545F3C">
        <w:rPr>
          <w:rStyle w:val="a5"/>
          <w:rtl/>
        </w:rPr>
        <w:footnoteReference w:id="29"/>
      </w:r>
      <w:r>
        <w:rPr>
          <w:rFonts w:hint="cs"/>
          <w:rtl/>
        </w:rPr>
        <w:t xml:space="preserve"> </w:t>
      </w:r>
      <w:r w:rsidRPr="00545F3C">
        <w:rPr>
          <w:rFonts w:hint="cs"/>
          <w:rtl/>
        </w:rPr>
        <w:t>כן נמנה ברשימות הפנקסים העות</w:t>
      </w:r>
      <w:r w:rsidR="000C1535">
        <w:rPr>
          <w:rFonts w:hint="cs"/>
          <w:rtl/>
        </w:rPr>
        <w:t>'מאניים ב</w:t>
      </w:r>
      <w:r w:rsidRPr="00545F3C">
        <w:rPr>
          <w:rFonts w:hint="cs"/>
          <w:rtl/>
        </w:rPr>
        <w:t xml:space="preserve">שנים </w:t>
      </w:r>
      <w:r w:rsidR="000C1535">
        <w:rPr>
          <w:rFonts w:hint="cs"/>
          <w:rtl/>
        </w:rPr>
        <w:t>1568-1525,</w:t>
      </w:r>
      <w:r w:rsidRPr="00545F3C">
        <w:rPr>
          <w:rStyle w:val="a5"/>
          <w:rtl/>
        </w:rPr>
        <w:footnoteReference w:id="30"/>
      </w:r>
      <w:r w:rsidRPr="00545F3C">
        <w:rPr>
          <w:rFonts w:hint="cs"/>
          <w:rtl/>
        </w:rPr>
        <w:t xml:space="preserve"> </w:t>
      </w:r>
      <w:r>
        <w:rPr>
          <w:rFonts w:hint="cs"/>
          <w:rtl/>
        </w:rPr>
        <w:t>ומהם משתמע לכאורה ש</w:t>
      </w:r>
      <w:r w:rsidRPr="00545F3C">
        <w:rPr>
          <w:rFonts w:hint="cs"/>
          <w:rtl/>
        </w:rPr>
        <w:t>במהלך המאה הט"ז היה בירידה מספרית מתמדת</w:t>
      </w:r>
      <w:r>
        <w:rPr>
          <w:rFonts w:hint="cs"/>
          <w:rtl/>
        </w:rPr>
        <w:t>, אך י' הקר כבר עמד על הטעות האפשרית בהבנה זו.</w:t>
      </w:r>
      <w:r>
        <w:rPr>
          <w:rStyle w:val="a5"/>
          <w:rtl/>
        </w:rPr>
        <w:footnoteReference w:id="31"/>
      </w:r>
      <w:r>
        <w:rPr>
          <w:rFonts w:hint="cs"/>
          <w:rtl/>
        </w:rPr>
        <w:t xml:space="preserve"> קהל זה</w:t>
      </w:r>
      <w:r w:rsidRPr="00545F3C">
        <w:rPr>
          <w:rFonts w:hint="cs"/>
          <w:rtl/>
        </w:rPr>
        <w:t xml:space="preserve"> נזכר בדיון שזמנו אולי בסביבות שנת ש"מ,</w:t>
      </w:r>
      <w:r w:rsidRPr="00545F3C">
        <w:rPr>
          <w:rStyle w:val="a5"/>
          <w:rtl/>
        </w:rPr>
        <w:footnoteReference w:id="32"/>
      </w:r>
      <w:r w:rsidRPr="00545F3C">
        <w:rPr>
          <w:rFonts w:hint="cs"/>
          <w:rtl/>
        </w:rPr>
        <w:t xml:space="preserve"> </w:t>
      </w:r>
      <w:r>
        <w:rPr>
          <w:rFonts w:hint="cs"/>
          <w:rtl/>
        </w:rPr>
        <w:t xml:space="preserve">על </w:t>
      </w:r>
      <w:r>
        <w:rPr>
          <w:rFonts w:hint="cs"/>
          <w:rtl/>
        </w:rPr>
        <w:lastRenderedPageBreak/>
        <w:t>רקע</w:t>
      </w:r>
      <w:r w:rsidRPr="00545F3C">
        <w:rPr>
          <w:rFonts w:hint="cs"/>
          <w:rtl/>
        </w:rPr>
        <w:t xml:space="preserve"> יריבות עם קהל הספרדים בעניינים כספיים</w:t>
      </w:r>
      <w:r>
        <w:rPr>
          <w:rFonts w:hint="cs"/>
          <w:rtl/>
        </w:rPr>
        <w:t>,</w:t>
      </w:r>
      <w:r w:rsidRPr="00545F3C">
        <w:rPr>
          <w:rStyle w:val="a5"/>
          <w:rtl/>
        </w:rPr>
        <w:footnoteReference w:id="33"/>
      </w:r>
      <w:r w:rsidRPr="00545F3C">
        <w:rPr>
          <w:rFonts w:hint="cs"/>
          <w:rtl/>
        </w:rPr>
        <w:t xml:space="preserve"> </w:t>
      </w:r>
      <w:r>
        <w:rPr>
          <w:rFonts w:hint="cs"/>
          <w:rtl/>
        </w:rPr>
        <w:t xml:space="preserve">אך </w:t>
      </w:r>
      <w:r w:rsidRPr="00545F3C">
        <w:rPr>
          <w:rFonts w:hint="cs"/>
          <w:rtl/>
        </w:rPr>
        <w:t>מאז לא נודע עוד שמעו בצפת, ויש</w:t>
      </w:r>
      <w:r w:rsidR="00A37EA0">
        <w:rPr>
          <w:rFonts w:hint="cs"/>
          <w:rtl/>
        </w:rPr>
        <w:t xml:space="preserve"> להניח שהתערב בין הקהלים האחרים,</w:t>
      </w:r>
      <w:r w:rsidRPr="00545F3C">
        <w:rPr>
          <w:rStyle w:val="a5"/>
          <w:rtl/>
        </w:rPr>
        <w:footnoteReference w:id="34"/>
      </w:r>
      <w:r w:rsidR="00A37EA0">
        <w:rPr>
          <w:rFonts w:hint="cs"/>
          <w:rtl/>
        </w:rPr>
        <w:t xml:space="preserve"> וכפי שנראה להלן איבד את צביונו.</w:t>
      </w:r>
      <w:r w:rsidRPr="00545F3C">
        <w:rPr>
          <w:rFonts w:hint="cs"/>
          <w:rtl/>
        </w:rPr>
        <w:t xml:space="preserve"> </w:t>
      </w:r>
    </w:p>
    <w:p w:rsidR="003B386C" w:rsidRDefault="003B386C" w:rsidP="0057553B">
      <w:pPr>
        <w:spacing w:line="360" w:lineRule="auto"/>
        <w:rPr>
          <w:rFonts w:asciiTheme="majorBidi" w:hAnsiTheme="majorBidi" w:cstheme="majorBidi" w:hint="cs"/>
          <w:rtl/>
        </w:rPr>
      </w:pPr>
      <w:r w:rsidRPr="00740088">
        <w:rPr>
          <w:rFonts w:asciiTheme="majorBidi" w:hAnsiTheme="majorBidi" w:cstheme="majorBidi"/>
          <w:rtl/>
        </w:rPr>
        <w:t>בדיון זה עלינו</w:t>
      </w:r>
      <w:r w:rsidR="00A37EA0">
        <w:rPr>
          <w:rFonts w:asciiTheme="majorBidi" w:hAnsiTheme="majorBidi" w:cstheme="majorBidi"/>
          <w:rtl/>
        </w:rPr>
        <w:t xml:space="preserve"> להבחין בין מנהג ארץ ישראלי 'אמ</w:t>
      </w:r>
      <w:r w:rsidRPr="00740088">
        <w:rPr>
          <w:rFonts w:asciiTheme="majorBidi" w:hAnsiTheme="majorBidi" w:cstheme="majorBidi"/>
          <w:rtl/>
        </w:rPr>
        <w:t>תי', כלומר כזה שמייצג מסורות של מתיישבי הארץ הוותיקים שמקובל לזהותם עם קהל המוסתערבים, לבין מנהג ארץ ישראלי שמקורו במהגרים שהחילו את מנהגיהם על תושבי הארץ זה מכבר.</w:t>
      </w:r>
      <w:r w:rsidRPr="00740088">
        <w:rPr>
          <w:rStyle w:val="a5"/>
          <w:rFonts w:asciiTheme="majorBidi" w:hAnsiTheme="majorBidi" w:cstheme="majorBidi"/>
          <w:rtl/>
        </w:rPr>
        <w:footnoteReference w:id="35"/>
      </w:r>
      <w:r w:rsidRPr="00740088">
        <w:rPr>
          <w:rFonts w:asciiTheme="majorBidi" w:hAnsiTheme="majorBidi" w:cstheme="majorBidi"/>
          <w:rtl/>
        </w:rPr>
        <w:t xml:space="preserve"> אבחנה זו לא תמיד אפשרית, אבל חשובה כדי להבין את אופיים של הפולמוסים על שינויי המנהגים.</w:t>
      </w:r>
    </w:p>
    <w:p w:rsidR="00A37EA0" w:rsidRPr="00740088" w:rsidRDefault="00A37EA0" w:rsidP="0057553B">
      <w:pPr>
        <w:spacing w:line="360" w:lineRule="auto"/>
        <w:rPr>
          <w:rFonts w:asciiTheme="majorBidi" w:hAnsiTheme="majorBidi" w:cstheme="majorBidi"/>
          <w:rtl/>
        </w:rPr>
      </w:pPr>
    </w:p>
    <w:p w:rsidR="003B386C" w:rsidRPr="00740088" w:rsidRDefault="00A37EA0" w:rsidP="0057553B">
      <w:pPr>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2</w:t>
      </w:r>
      <w:r w:rsidR="003B386C" w:rsidRPr="00740088">
        <w:rPr>
          <w:rFonts w:asciiTheme="majorBidi" w:hAnsiTheme="majorBidi" w:cstheme="majorBidi"/>
          <w:b/>
          <w:bCs/>
          <w:sz w:val="28"/>
          <w:szCs w:val="28"/>
          <w:rtl/>
        </w:rPr>
        <w:t>. אימוץ המנהג המקומי והעדפתו על פני מסורת המהגרים</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ר' יששכר ן' סוסאן סיפר, שכאשר ביקש ר' יעקב בירב לעמוד על מנהגי הקריאה בתורה בחול המועד, הנהוגים בצפת מקדמת דנא, פנה אל "החכם השלם מ"הר ישועה יצ"ו דיין המוסתערבים יצ"ו, [כמייצג את ותיקי] תושבי הארץ תוב'ב שבגליל העליון [...] ושאל אותו על כך: איך הוא מנהגכם אתם, שאתם קדמונים בארץ, בנים ואבות מעולם, ו[חיים כאן מזה] שנים קדמוניות"?</w:t>
      </w:r>
      <w:r w:rsidRPr="00740088">
        <w:rPr>
          <w:rStyle w:val="a5"/>
          <w:rFonts w:asciiTheme="majorBidi" w:hAnsiTheme="majorBidi" w:cstheme="majorBidi"/>
          <w:rtl/>
        </w:rPr>
        <w:footnoteReference w:id="36"/>
      </w:r>
      <w:r w:rsidRPr="00740088">
        <w:rPr>
          <w:rFonts w:asciiTheme="majorBidi" w:hAnsiTheme="majorBidi" w:cstheme="majorBidi"/>
          <w:rtl/>
        </w:rPr>
        <w:t xml:space="preserve"> פנייה זו משקפת את גישתו העקרונית של ר' יעקב בירב להעמיד בעדיפות את המנהג המקומי, כאשר מתעורר הצורך לייצר הסכמה בעניין שחשיבותו באחדות הקהילה העירונית.</w:t>
      </w:r>
      <w:r w:rsidRPr="00740088">
        <w:rPr>
          <w:rStyle w:val="a5"/>
          <w:rFonts w:asciiTheme="majorBidi" w:hAnsiTheme="majorBidi" w:cstheme="majorBidi"/>
          <w:rtl/>
        </w:rPr>
        <w:footnoteReference w:id="37"/>
      </w:r>
      <w:r w:rsidRPr="00740088">
        <w:rPr>
          <w:rFonts w:asciiTheme="majorBidi" w:hAnsiTheme="majorBidi" w:cstheme="majorBidi"/>
          <w:rtl/>
        </w:rPr>
        <w:t xml:space="preserve">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שרשיה של גישה עקרונית זו בפסיקות קדומות.</w:t>
      </w:r>
      <w:r w:rsidRPr="00740088">
        <w:rPr>
          <w:rStyle w:val="a5"/>
          <w:rFonts w:asciiTheme="majorBidi" w:hAnsiTheme="majorBidi" w:cstheme="majorBidi"/>
          <w:rtl/>
        </w:rPr>
        <w:footnoteReference w:id="38"/>
      </w:r>
      <w:r w:rsidRPr="00740088">
        <w:rPr>
          <w:rFonts w:asciiTheme="majorBidi" w:hAnsiTheme="majorBidi" w:cstheme="majorBidi"/>
          <w:rtl/>
        </w:rPr>
        <w:t xml:space="preserve"> היא עמדה לנגד עיניהם של פוסקים ספרדים גם בדור שאחרי ר' יעקב בירב,</w:t>
      </w:r>
      <w:r w:rsidRPr="00740088">
        <w:rPr>
          <w:rStyle w:val="a5"/>
          <w:rFonts w:asciiTheme="majorBidi" w:hAnsiTheme="majorBidi" w:cstheme="majorBidi"/>
          <w:rtl/>
        </w:rPr>
        <w:footnoteReference w:id="39"/>
      </w:r>
      <w:r w:rsidRPr="00740088">
        <w:rPr>
          <w:rFonts w:asciiTheme="majorBidi" w:hAnsiTheme="majorBidi" w:cstheme="majorBidi"/>
          <w:rtl/>
        </w:rPr>
        <w:t xml:space="preserve"> וניכרת במשנת תלמידו ר' יוסף קארו, על אף חשיבות מפעלו שהוא עצמו היה מודע לה.</w:t>
      </w:r>
      <w:r w:rsidRPr="00740088">
        <w:rPr>
          <w:rStyle w:val="a5"/>
          <w:rFonts w:asciiTheme="majorBidi" w:hAnsiTheme="majorBidi" w:cstheme="majorBidi"/>
          <w:rtl/>
        </w:rPr>
        <w:footnoteReference w:id="40"/>
      </w:r>
      <w:r w:rsidRPr="00740088">
        <w:rPr>
          <w:rFonts w:asciiTheme="majorBidi" w:hAnsiTheme="majorBidi" w:cstheme="majorBidi"/>
          <w:rtl/>
        </w:rPr>
        <w:t xml:space="preserve"> בענייני תפילה הוא פסק לפי מה ש"הנהיגו הקדמונים בא"י, והוא המנהג הנכון",</w:t>
      </w:r>
      <w:r w:rsidRPr="00740088">
        <w:rPr>
          <w:rStyle w:val="a5"/>
          <w:rFonts w:asciiTheme="majorBidi" w:hAnsiTheme="majorBidi" w:cstheme="majorBidi"/>
          <w:rtl/>
        </w:rPr>
        <w:footnoteReference w:id="41"/>
      </w:r>
      <w:r w:rsidRPr="00740088">
        <w:rPr>
          <w:rFonts w:asciiTheme="majorBidi" w:hAnsiTheme="majorBidi" w:cstheme="majorBidi"/>
          <w:rtl/>
        </w:rPr>
        <w:t xml:space="preserve"> ובשנת שי"ט הגיב בדחייה לניסיון של גורמים בקהל המערבים לשנות את מנהגי קהלם בהשפעת נוהגי </w:t>
      </w:r>
      <w:r w:rsidRPr="00740088">
        <w:rPr>
          <w:rFonts w:asciiTheme="majorBidi" w:hAnsiTheme="majorBidi" w:cstheme="majorBidi"/>
          <w:rtl/>
        </w:rPr>
        <w:lastRenderedPageBreak/>
        <w:t>הספרדים.</w:t>
      </w:r>
      <w:r w:rsidRPr="00740088">
        <w:rPr>
          <w:rStyle w:val="a5"/>
          <w:rFonts w:asciiTheme="majorBidi" w:hAnsiTheme="majorBidi" w:cstheme="majorBidi"/>
          <w:rtl/>
        </w:rPr>
        <w:footnoteReference w:id="42"/>
      </w:r>
      <w:r w:rsidRPr="00740088">
        <w:rPr>
          <w:rFonts w:asciiTheme="majorBidi" w:hAnsiTheme="majorBidi" w:cstheme="majorBidi"/>
          <w:rtl/>
        </w:rPr>
        <w:t xml:space="preserve"> בדיון שהופנה אליו מחוץ לארץ בעניין יישוב שמספר המהגרים היהודים אליו עלה על מספר הוותיקים שגרים בו, הוא טבע את הכלל: "אע"פי שרבים הם הבאים ממקום שנוהגים מנהג א'[חד] בטלים הם לגבי מרובים מהם שנהגו מנהג אחר [...] נוהגי'[ם] כמנהג העיר שבאו שם [...] ולא חילק [=הבדיל] בין אם בני העיר שבאו שם מרובים מהם או מועטים מהם".</w:t>
      </w:r>
      <w:r w:rsidRPr="00740088">
        <w:rPr>
          <w:rStyle w:val="a5"/>
          <w:rFonts w:asciiTheme="majorBidi" w:hAnsiTheme="majorBidi" w:cstheme="majorBidi"/>
          <w:rtl/>
        </w:rPr>
        <w:footnoteReference w:id="43"/>
      </w:r>
    </w:p>
    <w:p w:rsidR="00673CF2" w:rsidRDefault="003B386C" w:rsidP="0057553B">
      <w:pPr>
        <w:spacing w:line="360" w:lineRule="auto"/>
        <w:rPr>
          <w:rFonts w:asciiTheme="majorBidi" w:hAnsiTheme="majorBidi" w:cstheme="majorBidi" w:hint="cs"/>
          <w:rtl/>
        </w:rPr>
      </w:pPr>
      <w:r w:rsidRPr="00740088">
        <w:rPr>
          <w:rFonts w:asciiTheme="majorBidi" w:hAnsiTheme="majorBidi" w:cstheme="majorBidi"/>
          <w:rtl/>
        </w:rPr>
        <w:t>ר' משה גלאנטי העיד, שרבו ר' יוסף קארו לא הנהיג שינויים גם כאשר ראה נחיצות בכך, כדי לא לשנות מן המנהג המקומי הקדמון.</w:t>
      </w:r>
      <w:r w:rsidRPr="00740088">
        <w:rPr>
          <w:rStyle w:val="a5"/>
          <w:rFonts w:asciiTheme="majorBidi" w:hAnsiTheme="majorBidi" w:cstheme="majorBidi"/>
          <w:rtl/>
        </w:rPr>
        <w:footnoteReference w:id="44"/>
      </w:r>
      <w:r w:rsidRPr="00740088">
        <w:rPr>
          <w:rFonts w:asciiTheme="majorBidi" w:hAnsiTheme="majorBidi" w:cstheme="majorBidi"/>
          <w:rtl/>
        </w:rPr>
        <w:t xml:space="preserve"> מגמה זו מאפיינת גם פסיקות אחרות של ר' יוסף קארו, בהן הפגין התחשבות במנהג המקומי,</w:t>
      </w:r>
      <w:r w:rsidRPr="00740088">
        <w:rPr>
          <w:rStyle w:val="a5"/>
          <w:rFonts w:asciiTheme="majorBidi" w:hAnsiTheme="majorBidi" w:cstheme="majorBidi"/>
          <w:rtl/>
        </w:rPr>
        <w:footnoteReference w:id="45"/>
      </w:r>
      <w:r w:rsidRPr="00740088">
        <w:rPr>
          <w:rFonts w:asciiTheme="majorBidi" w:hAnsiTheme="majorBidi" w:cstheme="majorBidi"/>
          <w:rtl/>
        </w:rPr>
        <w:t xml:space="preserve"> כמו גם את פסיקות</w:t>
      </w:r>
      <w:r w:rsidR="00111084">
        <w:rPr>
          <w:rFonts w:asciiTheme="majorBidi" w:hAnsiTheme="majorBidi" w:cstheme="majorBidi" w:hint="cs"/>
          <w:rtl/>
        </w:rPr>
        <w:t>יו של</w:t>
      </w:r>
      <w:r w:rsidRPr="00740088">
        <w:rPr>
          <w:rFonts w:asciiTheme="majorBidi" w:hAnsiTheme="majorBidi" w:cstheme="majorBidi"/>
          <w:rtl/>
        </w:rPr>
        <w:t xml:space="preserve"> ר' משה גלאנטי.</w:t>
      </w:r>
      <w:r w:rsidRPr="00740088">
        <w:rPr>
          <w:rStyle w:val="a5"/>
          <w:rFonts w:asciiTheme="majorBidi" w:hAnsiTheme="majorBidi" w:cstheme="majorBidi"/>
          <w:rtl/>
        </w:rPr>
        <w:footnoteReference w:id="46"/>
      </w:r>
      <w:r w:rsidRPr="00740088">
        <w:rPr>
          <w:rFonts w:asciiTheme="majorBidi" w:hAnsiTheme="majorBidi" w:cstheme="majorBidi"/>
          <w:rtl/>
        </w:rPr>
        <w:t xml:space="preserve"> גם הדיין המערבי ר' יששכר ן' סוסאן נקט עמדה דומה, וגרס שמעמדו העקרוני של המנהג עדיף. הוא נימק זאת בשמירה על היציבות החברתית: "[...] אפשר שתתעורר מזה קנאה ושנאה ומחלוקת בקהל, שיאמר הכהן או קרוביו למה עשיתוני או קראתוני ע"ה [=עם הארץ]".</w:t>
      </w:r>
      <w:r w:rsidRPr="00740088">
        <w:rPr>
          <w:rStyle w:val="a5"/>
          <w:rFonts w:asciiTheme="majorBidi" w:hAnsiTheme="majorBidi" w:cstheme="majorBidi"/>
          <w:rtl/>
        </w:rPr>
        <w:footnoteReference w:id="47"/>
      </w:r>
      <w:r w:rsidRPr="00740088">
        <w:rPr>
          <w:rFonts w:asciiTheme="majorBidi" w:hAnsiTheme="majorBidi" w:cstheme="majorBidi"/>
          <w:rtl/>
        </w:rPr>
        <w:t xml:space="preserve"> </w:t>
      </w:r>
    </w:p>
    <w:p w:rsidR="003B386C" w:rsidRDefault="003B386C" w:rsidP="0057553B">
      <w:pPr>
        <w:spacing w:line="360" w:lineRule="auto"/>
        <w:rPr>
          <w:rFonts w:asciiTheme="majorBidi" w:hAnsiTheme="majorBidi" w:cstheme="majorBidi" w:hint="cs"/>
          <w:rtl/>
        </w:rPr>
      </w:pPr>
      <w:r w:rsidRPr="00740088">
        <w:rPr>
          <w:rFonts w:asciiTheme="majorBidi" w:hAnsiTheme="majorBidi" w:cstheme="majorBidi"/>
          <w:rtl/>
        </w:rPr>
        <w:t>יחסם החיובי של חכמי הספרדים לא התבטא בהכרח באימוץ מנהגים או בדחייתם, אלא גם בהתבוננות במהותם לצורך לימוד והעשרת עולמם הרוחני.</w:t>
      </w:r>
      <w:r w:rsidR="00673CF2">
        <w:rPr>
          <w:rFonts w:asciiTheme="majorBidi" w:hAnsiTheme="majorBidi" w:cstheme="majorBidi" w:hint="cs"/>
          <w:rtl/>
        </w:rPr>
        <w:t xml:space="preserve"> </w:t>
      </w:r>
      <w:r w:rsidRPr="00740088">
        <w:rPr>
          <w:rFonts w:asciiTheme="majorBidi" w:hAnsiTheme="majorBidi" w:cstheme="majorBidi"/>
          <w:rtl/>
        </w:rPr>
        <w:t>בהקשר לכך ראוי עוד לציין, שר' שמואל די אוזידה</w:t>
      </w:r>
      <w:r w:rsidR="00673CF2">
        <w:rPr>
          <w:rFonts w:asciiTheme="majorBidi" w:hAnsiTheme="majorBidi" w:cstheme="majorBidi" w:hint="cs"/>
          <w:rtl/>
        </w:rPr>
        <w:t>, מחשובי החכמים בצפת במאה הט"ז,</w:t>
      </w:r>
      <w:r w:rsidR="00673CF2">
        <w:rPr>
          <w:rStyle w:val="a5"/>
          <w:rFonts w:asciiTheme="majorBidi" w:hAnsiTheme="majorBidi" w:cstheme="majorBidi"/>
          <w:rtl/>
        </w:rPr>
        <w:footnoteReference w:id="48"/>
      </w:r>
      <w:r w:rsidRPr="00740088">
        <w:rPr>
          <w:rFonts w:asciiTheme="majorBidi" w:hAnsiTheme="majorBidi" w:cstheme="majorBidi"/>
          <w:rtl/>
        </w:rPr>
        <w:t xml:space="preserve"> אימץ פרשנות של מזמור בתהלים על בסיס התבוננות במנהג מוסתערבי.</w:t>
      </w:r>
      <w:r w:rsidRPr="00740088">
        <w:rPr>
          <w:rStyle w:val="a5"/>
          <w:rFonts w:asciiTheme="majorBidi" w:hAnsiTheme="majorBidi" w:cstheme="majorBidi"/>
          <w:rtl/>
        </w:rPr>
        <w:footnoteReference w:id="49"/>
      </w:r>
    </w:p>
    <w:p w:rsidR="00586ECB" w:rsidRPr="00740088" w:rsidRDefault="00586ECB" w:rsidP="0057553B">
      <w:pPr>
        <w:spacing w:line="360" w:lineRule="auto"/>
        <w:rPr>
          <w:rFonts w:asciiTheme="majorBidi" w:hAnsiTheme="majorBidi" w:cstheme="majorBidi"/>
          <w:rtl/>
        </w:rPr>
      </w:pPr>
    </w:p>
    <w:p w:rsidR="003B386C" w:rsidRPr="00740088" w:rsidRDefault="00506D68" w:rsidP="0057553B">
      <w:pPr>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3</w:t>
      </w:r>
      <w:r w:rsidR="003B386C" w:rsidRPr="00740088">
        <w:rPr>
          <w:rFonts w:asciiTheme="majorBidi" w:hAnsiTheme="majorBidi" w:cstheme="majorBidi"/>
          <w:b/>
          <w:bCs/>
          <w:sz w:val="28"/>
          <w:szCs w:val="28"/>
          <w:rtl/>
        </w:rPr>
        <w:t xml:space="preserve">. השפעת מנהגי הספרדים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עקרון זה, של גמישות בקבלת מנהגים מצדם של מגורשי חצי האי האיברי, לא ננקט לרוב והם ביקשו להחיל את מנהגיהם מתוך תודעת עליונות,</w:t>
      </w:r>
      <w:r w:rsidRPr="00740088">
        <w:rPr>
          <w:rStyle w:val="a5"/>
          <w:rFonts w:asciiTheme="majorBidi" w:hAnsiTheme="majorBidi" w:cstheme="majorBidi"/>
          <w:rtl/>
        </w:rPr>
        <w:footnoteReference w:id="50"/>
      </w:r>
      <w:r w:rsidRPr="00740088">
        <w:rPr>
          <w:rFonts w:asciiTheme="majorBidi" w:hAnsiTheme="majorBidi" w:cstheme="majorBidi"/>
          <w:rtl/>
        </w:rPr>
        <w:t xml:space="preserve"> בדומה לריכוזים האחרים שבתוכם נקלטו.</w:t>
      </w:r>
      <w:r w:rsidRPr="00740088">
        <w:rPr>
          <w:rStyle w:val="a5"/>
          <w:rFonts w:asciiTheme="majorBidi" w:hAnsiTheme="majorBidi" w:cstheme="majorBidi"/>
          <w:rtl/>
        </w:rPr>
        <w:footnoteReference w:id="51"/>
      </w:r>
      <w:r w:rsidRPr="00740088">
        <w:rPr>
          <w:rFonts w:asciiTheme="majorBidi" w:hAnsiTheme="majorBidi" w:cstheme="majorBidi"/>
          <w:rtl/>
        </w:rPr>
        <w:t xml:space="preserve"> א' וסטרייך כינה תופעה זו בשם 'איפריאליזם ספרדי'.</w:t>
      </w:r>
      <w:r w:rsidRPr="00740088">
        <w:rPr>
          <w:rStyle w:val="a5"/>
          <w:rFonts w:asciiTheme="majorBidi" w:hAnsiTheme="majorBidi" w:cstheme="majorBidi"/>
          <w:rtl/>
        </w:rPr>
        <w:footnoteReference w:id="52"/>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lastRenderedPageBreak/>
        <w:t>לדעת י' הקר, יש לקשור תופעה זו בטראומת הגירוש: "הם חשו שהקרבתם ושאת הסבל והייסורים שבהם נשאו, יהיו חסרי טעם אם לא ידבקו במסורתם בייחודית – ההלכית, המנהגית, הספרותית והעיונית. הם השתמשו בסגנון בוטה ובאמצעים נוקשים כדי להשיג מטרה זו, לעתים תוך כדי זלזול, המעטת ערך או התעלמות ממסורתם של קיבוצים יהודיים אחרים שבהם פגשו באימפריה העות'מאנית".</w:t>
      </w:r>
      <w:r w:rsidRPr="00740088">
        <w:rPr>
          <w:rStyle w:val="a5"/>
          <w:rFonts w:asciiTheme="majorBidi" w:hAnsiTheme="majorBidi" w:cstheme="majorBidi"/>
          <w:rtl/>
        </w:rPr>
        <w:footnoteReference w:id="53"/>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בדיונו על גביית נכסי המת בידי אלמנתו כתב המבי"ט: "בארצות אלו המנהג הוא קבוע, אפילו באותם שבאו מהארצות ההם נוהגים כאן כדעת הרי"ף והר"מבם ז"ל".</w:t>
      </w:r>
      <w:r w:rsidRPr="00740088">
        <w:rPr>
          <w:rStyle w:val="a5"/>
          <w:rFonts w:asciiTheme="majorBidi" w:hAnsiTheme="majorBidi" w:cstheme="majorBidi"/>
          <w:rtl/>
        </w:rPr>
        <w:footnoteReference w:id="54"/>
      </w:r>
      <w:r w:rsidRPr="00740088">
        <w:rPr>
          <w:rFonts w:asciiTheme="majorBidi" w:hAnsiTheme="majorBidi" w:cstheme="majorBidi"/>
          <w:rtl/>
        </w:rPr>
        <w:t xml:space="preserve"> הוא לא ציין לאלו ארצות התכוון, אבל הפסיקה לפי הרי"ף ורמב"ם משקפת את המסורת הספרדית, ומכאן שלפי דבריו היא אומצה גם על ידי עדות אחרות. לדבריו, זכה המנהג הספרדי למעמד בלתי מעורער.</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על מעמדו ההלכתי הנפוץ של רמב"ם בדורות הסמוכים לאחר הגירוש העיד ר' בצלאל אשכנזי: "הרב הגדול אביהן של כל ישראל, מרה דארעא דישראל, אשר קבלוהו עליהם לרב מסוף ארץ תימן עד סוף ארץ הצבי וסוריא וארץ שנער [= בבל]".</w:t>
      </w:r>
      <w:r w:rsidRPr="00740088">
        <w:rPr>
          <w:rStyle w:val="a5"/>
          <w:rFonts w:asciiTheme="majorBidi" w:hAnsiTheme="majorBidi" w:cstheme="majorBidi"/>
          <w:rtl/>
        </w:rPr>
        <w:footnoteReference w:id="55"/>
      </w:r>
      <w:r w:rsidRPr="00740088">
        <w:rPr>
          <w:rFonts w:asciiTheme="majorBidi" w:hAnsiTheme="majorBidi" w:cstheme="majorBidi"/>
          <w:rtl/>
        </w:rPr>
        <w:t xml:space="preserve"> וכך גם ר' יוסף קארו: "הרמב"ם ז"ל, אשר הוא גדול הפוסקי'[ם], וכל קהלות ארץ ישראל והאראביסטאן [=וארצות ערב] והמערב נוהגים על פיו, וקבלוהו עליהם לרבן".</w:t>
      </w:r>
      <w:r w:rsidRPr="00740088">
        <w:rPr>
          <w:rStyle w:val="a5"/>
          <w:rFonts w:asciiTheme="majorBidi" w:hAnsiTheme="majorBidi" w:cstheme="majorBidi"/>
          <w:rtl/>
        </w:rPr>
        <w:footnoteReference w:id="56"/>
      </w:r>
      <w:r w:rsidRPr="00740088">
        <w:rPr>
          <w:rFonts w:asciiTheme="majorBidi" w:hAnsiTheme="majorBidi" w:cstheme="majorBidi"/>
          <w:rtl/>
        </w:rPr>
        <w:t xml:space="preserve"> גם אם לא בכל מקרה,</w:t>
      </w:r>
      <w:r w:rsidRPr="00740088">
        <w:rPr>
          <w:rStyle w:val="a5"/>
          <w:rFonts w:asciiTheme="majorBidi" w:hAnsiTheme="majorBidi" w:cstheme="majorBidi"/>
          <w:rtl/>
        </w:rPr>
        <w:footnoteReference w:id="57"/>
      </w:r>
      <w:r w:rsidRPr="00740088">
        <w:rPr>
          <w:rFonts w:asciiTheme="majorBidi" w:hAnsiTheme="majorBidi" w:cstheme="majorBidi"/>
          <w:rtl/>
        </w:rPr>
        <w:t xml:space="preserve"> הרי שדבריהם משקפים באופן כללי את התפוצה המכרעת של משנת רמב"ם בהשפעת גולי ספרד בארצות המזרח. עובדה זו משתקפת היטב בדברי חכמי צפת, כגון ר' יוסף קארו,</w:t>
      </w:r>
      <w:r w:rsidRPr="00740088">
        <w:rPr>
          <w:rStyle w:val="a5"/>
          <w:rFonts w:asciiTheme="majorBidi" w:hAnsiTheme="majorBidi" w:cstheme="majorBidi"/>
          <w:rtl/>
        </w:rPr>
        <w:footnoteReference w:id="58"/>
      </w:r>
      <w:r w:rsidRPr="00740088">
        <w:rPr>
          <w:rFonts w:asciiTheme="majorBidi" w:hAnsiTheme="majorBidi" w:cstheme="majorBidi"/>
          <w:rtl/>
        </w:rPr>
        <w:t xml:space="preserve"> המבי"ט</w:t>
      </w:r>
      <w:r w:rsidRPr="00740088">
        <w:rPr>
          <w:rStyle w:val="a5"/>
          <w:rFonts w:asciiTheme="majorBidi" w:hAnsiTheme="majorBidi" w:cstheme="majorBidi"/>
          <w:rtl/>
        </w:rPr>
        <w:footnoteReference w:id="59"/>
      </w:r>
      <w:r w:rsidRPr="00740088">
        <w:rPr>
          <w:rFonts w:asciiTheme="majorBidi" w:hAnsiTheme="majorBidi" w:cstheme="majorBidi"/>
          <w:rtl/>
        </w:rPr>
        <w:t xml:space="preserve"> ור' משה אלשיך.</w:t>
      </w:r>
      <w:r w:rsidRPr="00740088">
        <w:rPr>
          <w:rStyle w:val="a5"/>
          <w:rFonts w:asciiTheme="majorBidi" w:hAnsiTheme="majorBidi" w:cstheme="majorBidi"/>
          <w:rtl/>
        </w:rPr>
        <w:footnoteReference w:id="60"/>
      </w:r>
      <w:r w:rsidRPr="00740088">
        <w:rPr>
          <w:rFonts w:asciiTheme="majorBidi" w:hAnsiTheme="majorBidi" w:cstheme="majorBidi"/>
          <w:rtl/>
        </w:rPr>
        <w:t xml:space="preserve"> מכל אלו אנו למדים עד היכן הגיעה ההשפעה הספרדית בצפת, שקיבלה תוקף של מנהג המקום.</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באמצע המאה הט"ז כתב ר' יששכר ן' סוסאן: "וכן עתה בקהלת צפת תו"בב, שבאו הנה מארצו'[ת] ח"ל [=חוץ לארץ], יש נוהגין ויש נוהגי'[ן], כל קהלה כפי מנהג ארצה ומחוזה שבאו משם, והמוסתערבי'[ם] יצ"ו תושבי הארץ, וכן שאר הקהלו'[ת] יצ"ו אשר שם, נוהגין כספרד, וכן נהגנו כמותם גם אנו קהל המערביים יצ"ו אשר שם, [ובכך הלכנו] אחר הרוב".</w:t>
      </w:r>
      <w:r w:rsidRPr="00740088">
        <w:rPr>
          <w:rStyle w:val="a5"/>
          <w:rFonts w:asciiTheme="majorBidi" w:hAnsiTheme="majorBidi" w:cstheme="majorBidi"/>
          <w:rtl/>
        </w:rPr>
        <w:footnoteReference w:id="61"/>
      </w:r>
      <w:r w:rsidRPr="00740088">
        <w:rPr>
          <w:rFonts w:asciiTheme="majorBidi" w:hAnsiTheme="majorBidi" w:cstheme="majorBidi"/>
          <w:rtl/>
        </w:rPr>
        <w:t xml:space="preserve"> תיאור קצר זה מתמצת את תוצאות המפגש התרבותי בצפת בדור שלאחר הגירוש: מהגרים יהודים הגיעו מארצות שונות, נשאו עמם מנהגים שונים, </w:t>
      </w:r>
      <w:r w:rsidRPr="00740088">
        <w:rPr>
          <w:rFonts w:asciiTheme="majorBidi" w:hAnsiTheme="majorBidi" w:cstheme="majorBidi"/>
          <w:rtl/>
        </w:rPr>
        <w:lastRenderedPageBreak/>
        <w:t>והתיישבו לצדם של יושבי הארץ הוותיקים, מוסתערבים או מהגרים ותיקים. במשך הזמן נרקמו מוסכמות ציבוריות וחברתיות שאפשרו קיומם של מנהגים משותפים. בואה של התפוצה הספרדית לאחר הגירוש הפרה את המרקם, ובהשפעתה החזקה אומצו מנהגיה על ידי המערבים, המוסתערבים ומרבית הקהלים האחרים, כמובן על חשבון מנהגיהם הקדומים.</w:t>
      </w:r>
    </w:p>
    <w:p w:rsidR="003B386C" w:rsidRDefault="003B386C" w:rsidP="0057553B">
      <w:pPr>
        <w:spacing w:line="360" w:lineRule="auto"/>
        <w:rPr>
          <w:rFonts w:asciiTheme="majorBidi" w:hAnsiTheme="majorBidi" w:cstheme="majorBidi" w:hint="cs"/>
          <w:rtl/>
        </w:rPr>
      </w:pPr>
      <w:r w:rsidRPr="00740088">
        <w:rPr>
          <w:rFonts w:asciiTheme="majorBidi" w:hAnsiTheme="majorBidi" w:cstheme="majorBidi"/>
          <w:rtl/>
        </w:rPr>
        <w:t>גם מפגשם של הספרדים עם נוסחי תפילות שונים הניב מחלוקות אחדות. המבי"ט עמד על השוני בין המנהגים השונים בעניין קריאת העולה לתורה, כמו גם חתימת השם במסמכים.</w:t>
      </w:r>
      <w:r w:rsidRPr="00740088">
        <w:rPr>
          <w:rStyle w:val="a5"/>
          <w:rFonts w:asciiTheme="majorBidi" w:hAnsiTheme="majorBidi" w:cstheme="majorBidi"/>
          <w:rtl/>
        </w:rPr>
        <w:footnoteReference w:id="62"/>
      </w:r>
      <w:r w:rsidRPr="00740088">
        <w:rPr>
          <w:rFonts w:asciiTheme="majorBidi" w:hAnsiTheme="majorBidi" w:cstheme="majorBidi"/>
          <w:rtl/>
        </w:rPr>
        <w:t xml:space="preserve"> האר"י ותלמידיו ביקשו למנוע השפעות של מנהגי תפילה אשכנזים,</w:t>
      </w:r>
      <w:r w:rsidRPr="00740088">
        <w:rPr>
          <w:rStyle w:val="a5"/>
          <w:rFonts w:asciiTheme="majorBidi" w:hAnsiTheme="majorBidi" w:cstheme="majorBidi"/>
          <w:rtl/>
        </w:rPr>
        <w:footnoteReference w:id="63"/>
      </w:r>
      <w:r w:rsidRPr="00740088">
        <w:rPr>
          <w:rFonts w:asciiTheme="majorBidi" w:hAnsiTheme="majorBidi" w:cstheme="majorBidi"/>
          <w:rtl/>
        </w:rPr>
        <w:t xml:space="preserve"> רומניוטים,</w:t>
      </w:r>
      <w:r w:rsidRPr="00740088">
        <w:rPr>
          <w:rStyle w:val="a5"/>
          <w:rFonts w:asciiTheme="majorBidi" w:hAnsiTheme="majorBidi" w:cstheme="majorBidi"/>
          <w:rtl/>
        </w:rPr>
        <w:footnoteReference w:id="64"/>
      </w:r>
      <w:r w:rsidRPr="00740088">
        <w:rPr>
          <w:rFonts w:asciiTheme="majorBidi" w:hAnsiTheme="majorBidi" w:cstheme="majorBidi"/>
          <w:rtl/>
        </w:rPr>
        <w:t xml:space="preserve"> מוסתערבים</w:t>
      </w:r>
      <w:r w:rsidRPr="00740088">
        <w:rPr>
          <w:rStyle w:val="a5"/>
          <w:rFonts w:asciiTheme="majorBidi" w:hAnsiTheme="majorBidi" w:cstheme="majorBidi"/>
          <w:rtl/>
        </w:rPr>
        <w:footnoteReference w:id="65"/>
      </w:r>
      <w:r w:rsidRPr="00740088">
        <w:rPr>
          <w:rFonts w:asciiTheme="majorBidi" w:hAnsiTheme="majorBidi" w:cstheme="majorBidi"/>
          <w:rtl/>
        </w:rPr>
        <w:t xml:space="preserve"> ואיטליאנים</w:t>
      </w:r>
      <w:r w:rsidRPr="00740088">
        <w:rPr>
          <w:rStyle w:val="a5"/>
          <w:rFonts w:asciiTheme="majorBidi" w:hAnsiTheme="majorBidi" w:cstheme="majorBidi"/>
          <w:rtl/>
        </w:rPr>
        <w:footnoteReference w:id="66"/>
      </w:r>
      <w:r w:rsidRPr="00740088">
        <w:rPr>
          <w:rFonts w:asciiTheme="majorBidi" w:hAnsiTheme="majorBidi" w:cstheme="majorBidi"/>
          <w:rtl/>
        </w:rPr>
        <w:t xml:space="preserve"> על מנהגי התפילה בצפת. לעומתם, ביקש ר' משה ניגרין לאמץ ניגונים שנהגו הרומניוטים בתפילה.</w:t>
      </w:r>
      <w:r w:rsidRPr="00740088">
        <w:rPr>
          <w:rStyle w:val="a5"/>
          <w:rFonts w:asciiTheme="majorBidi" w:hAnsiTheme="majorBidi" w:cstheme="majorBidi"/>
          <w:rtl/>
        </w:rPr>
        <w:footnoteReference w:id="67"/>
      </w:r>
      <w:r w:rsidRPr="00740088">
        <w:rPr>
          <w:rFonts w:asciiTheme="majorBidi" w:hAnsiTheme="majorBidi" w:cstheme="majorBidi"/>
          <w:rtl/>
        </w:rPr>
        <w:t xml:space="preserve"> כאשר עוררו בעלי תורה בצפת בעיה של ניגודיות בין ההלכה האשכנזית להלכה הספרדית בדיני קידושין, היה זה ר' משה אלשיך שהצדיק את הנוהג האשכנזי,</w:t>
      </w:r>
      <w:r w:rsidRPr="00740088">
        <w:rPr>
          <w:rStyle w:val="a5"/>
          <w:rFonts w:asciiTheme="majorBidi" w:hAnsiTheme="majorBidi" w:cstheme="majorBidi"/>
          <w:rtl/>
        </w:rPr>
        <w:footnoteReference w:id="68"/>
      </w:r>
      <w:r w:rsidRPr="00740088">
        <w:rPr>
          <w:rFonts w:asciiTheme="majorBidi" w:hAnsiTheme="majorBidi" w:cstheme="majorBidi"/>
          <w:rtl/>
        </w:rPr>
        <w:t xml:space="preserve"> ובכך מנע קרע אפשרי על רקע נושא כה רגיש.</w:t>
      </w:r>
    </w:p>
    <w:p w:rsidR="00586ECB" w:rsidRPr="00740088" w:rsidRDefault="00586ECB" w:rsidP="0057553B">
      <w:pPr>
        <w:spacing w:line="360" w:lineRule="auto"/>
        <w:rPr>
          <w:rFonts w:asciiTheme="majorBidi" w:hAnsiTheme="majorBidi" w:cstheme="majorBidi"/>
          <w:rtl/>
        </w:rPr>
      </w:pPr>
    </w:p>
    <w:p w:rsidR="003B386C" w:rsidRPr="00740088" w:rsidRDefault="00586ECB" w:rsidP="0057553B">
      <w:pPr>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4</w:t>
      </w:r>
      <w:r w:rsidR="003B386C" w:rsidRPr="00740088">
        <w:rPr>
          <w:rFonts w:asciiTheme="majorBidi" w:hAnsiTheme="majorBidi" w:cstheme="majorBidi"/>
          <w:b/>
          <w:bCs/>
          <w:sz w:val="28"/>
          <w:szCs w:val="28"/>
          <w:rtl/>
        </w:rPr>
        <w:t>. הפולמוס על כוחו של 'מנהג ארץ ישראל'</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ביטויים כגון "מנהג בני ארץ ישראל"</w:t>
      </w:r>
      <w:r w:rsidRPr="00740088">
        <w:rPr>
          <w:rStyle w:val="a5"/>
          <w:rFonts w:asciiTheme="majorBidi" w:hAnsiTheme="majorBidi" w:cstheme="majorBidi"/>
          <w:rtl/>
        </w:rPr>
        <w:footnoteReference w:id="69"/>
      </w:r>
      <w:r w:rsidRPr="00740088">
        <w:rPr>
          <w:rFonts w:asciiTheme="majorBidi" w:hAnsiTheme="majorBidi" w:cstheme="majorBidi"/>
          <w:rtl/>
        </w:rPr>
        <w:t xml:space="preserve"> או "מנהג צפת",</w:t>
      </w:r>
      <w:r w:rsidRPr="00740088">
        <w:rPr>
          <w:rStyle w:val="a5"/>
          <w:rFonts w:asciiTheme="majorBidi" w:hAnsiTheme="majorBidi" w:cstheme="majorBidi"/>
          <w:rtl/>
        </w:rPr>
        <w:footnoteReference w:id="70"/>
      </w:r>
      <w:r w:rsidRPr="00740088">
        <w:rPr>
          <w:rFonts w:asciiTheme="majorBidi" w:hAnsiTheme="majorBidi" w:cstheme="majorBidi"/>
          <w:rtl/>
        </w:rPr>
        <w:t xml:space="preserve"> משקפים את מנהגי ותיקי הארץ, ומזוהים בדרך כלל עם המוסתערבים. יהודים אלה החזיקו</w:t>
      </w:r>
      <w:r w:rsidR="00586ECB">
        <w:rPr>
          <w:rFonts w:asciiTheme="majorBidi" w:hAnsiTheme="majorBidi" w:cstheme="majorBidi" w:hint="cs"/>
          <w:rtl/>
        </w:rPr>
        <w:t>, כאמור,</w:t>
      </w:r>
      <w:r w:rsidR="00586ECB">
        <w:rPr>
          <w:rFonts w:asciiTheme="majorBidi" w:hAnsiTheme="majorBidi" w:cstheme="majorBidi"/>
          <w:rtl/>
        </w:rPr>
        <w:t xml:space="preserve"> במנהגים משלהם</w:t>
      </w:r>
      <w:r w:rsidR="00586ECB">
        <w:rPr>
          <w:rFonts w:asciiTheme="majorBidi" w:hAnsiTheme="majorBidi" w:cstheme="majorBidi" w:hint="cs"/>
          <w:rtl/>
        </w:rPr>
        <w:t>.</w:t>
      </w:r>
      <w:r w:rsidRPr="00740088">
        <w:rPr>
          <w:rFonts w:asciiTheme="majorBidi" w:hAnsiTheme="majorBidi" w:cstheme="majorBidi"/>
          <w:rtl/>
        </w:rPr>
        <w:t xml:space="preserve"> יש להניח שמנהגים אלו רווחו בצפת בתקופה שקדמה לגירוש ספרד, כאשר השפעתם על צביונה של צפת הייתה דומיננטית יותר.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 xml:space="preserve">הופעת גלי ההגירה הגדולים לצפת, במיוחד אלו הספרדים, </w:t>
      </w:r>
      <w:r w:rsidR="002637C8">
        <w:rPr>
          <w:rFonts w:asciiTheme="majorBidi" w:hAnsiTheme="majorBidi" w:cstheme="majorBidi" w:hint="cs"/>
          <w:rtl/>
        </w:rPr>
        <w:t xml:space="preserve">כאמור, </w:t>
      </w:r>
      <w:r w:rsidRPr="00740088">
        <w:rPr>
          <w:rFonts w:asciiTheme="majorBidi" w:hAnsiTheme="majorBidi" w:cstheme="majorBidi"/>
          <w:rtl/>
        </w:rPr>
        <w:t xml:space="preserve">חשפה את המוסתערבים לעולם חדש של מנהגים והלכות, </w:t>
      </w:r>
      <w:r w:rsidR="0057553B">
        <w:rPr>
          <w:rFonts w:asciiTheme="majorBidi" w:hAnsiTheme="majorBidi" w:cstheme="majorBidi" w:hint="cs"/>
          <w:rtl/>
        </w:rPr>
        <w:t>ו</w:t>
      </w:r>
      <w:r w:rsidRPr="00740088">
        <w:rPr>
          <w:rFonts w:asciiTheme="majorBidi" w:hAnsiTheme="majorBidi" w:cstheme="majorBidi"/>
          <w:rtl/>
        </w:rPr>
        <w:t>הם סיגלו אותו בהדרגה.</w:t>
      </w:r>
      <w:r w:rsidR="007017A9">
        <w:rPr>
          <w:rStyle w:val="a5"/>
          <w:rFonts w:asciiTheme="majorBidi" w:hAnsiTheme="majorBidi" w:cstheme="majorBidi"/>
          <w:rtl/>
        </w:rPr>
        <w:footnoteReference w:id="71"/>
      </w:r>
      <w:r w:rsidRPr="00740088">
        <w:rPr>
          <w:rFonts w:asciiTheme="majorBidi" w:hAnsiTheme="majorBidi" w:cstheme="majorBidi"/>
          <w:rtl/>
        </w:rPr>
        <w:t xml:space="preserve"> בשנים הסמוכות להחלת השלטון העות'מאני נאמר ביחס לירושלים: "ובזמן ה"ה הישיש הטהור כמהר"ר עובדיה [מברטנורא] זלה"ה [בשלהי המאה הט"ו] היתה קרובה מאד כמנהג המסתערבים שנוהגים כדברי הרמב"ם [...] אבל עתה, כשנתוספו הספרדים יצ"ו, כמעט מבטלין כל הלשונות ברוב ועושים כרצונם".</w:t>
      </w:r>
      <w:r w:rsidRPr="00740088">
        <w:rPr>
          <w:rStyle w:val="a5"/>
          <w:rFonts w:asciiTheme="majorBidi" w:hAnsiTheme="majorBidi" w:cstheme="majorBidi"/>
          <w:rtl/>
        </w:rPr>
        <w:footnoteReference w:id="72"/>
      </w:r>
      <w:r w:rsidRPr="00740088">
        <w:rPr>
          <w:rFonts w:asciiTheme="majorBidi" w:hAnsiTheme="majorBidi" w:cstheme="majorBidi"/>
          <w:rtl/>
        </w:rPr>
        <w:t xml:space="preserve"> נראה שעדות זו משקפת במידה רבה גם את הנעשה </w:t>
      </w:r>
      <w:r w:rsidRPr="00740088">
        <w:rPr>
          <w:rFonts w:asciiTheme="majorBidi" w:hAnsiTheme="majorBidi" w:cstheme="majorBidi"/>
          <w:rtl/>
        </w:rPr>
        <w:lastRenderedPageBreak/>
        <w:t>בצפת באותה תקופה, ובמקרים מסוימים ביקשו המוסתערבים לאמץ יסודות ספרדיים. ואכן, תהליך זה אפיין גם ריכוזים יהודים אחרים במזרח בהם נפגשו המגורשים עם קהילות הוותיקים המקומיים.</w:t>
      </w:r>
      <w:r w:rsidRPr="00740088">
        <w:rPr>
          <w:rStyle w:val="a5"/>
          <w:rFonts w:asciiTheme="majorBidi" w:hAnsiTheme="majorBidi" w:cstheme="majorBidi"/>
          <w:rtl/>
        </w:rPr>
        <w:footnoteReference w:id="73"/>
      </w:r>
      <w:r w:rsidRPr="00740088">
        <w:rPr>
          <w:rFonts w:asciiTheme="majorBidi" w:hAnsiTheme="majorBidi" w:cstheme="majorBidi"/>
          <w:rtl/>
        </w:rPr>
        <w:t xml:space="preserve">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מגמה זו הורגשה היטב גם בצפת, ומשתקפת בפסיקותיהם של מורי ההוראה. במחצית הראשונה של המאה הט"ז גילו המוסתערבים עניין בתרבויות יוצאי חצי האי האיברי, וביקשו לאמץ לעצמם מנהגים חדשים בהשפעתן: בשנת רצ"ט דרשו הספרדים במצרים לבטל את מנהג המוסתערבים לפיו שליח הציבור מתפלל תפילת שמונה עשרה אחת עם הציבור בקול. טענתם הייתה שקהילות מוסתערביות אחרות, וקהילת צפת בכללן, נסוגו ממנהג זה ואימצו את המנהג הספרדי לקיים חזרת שליח הציבור.</w:t>
      </w:r>
      <w:r w:rsidRPr="00740088">
        <w:rPr>
          <w:rStyle w:val="a5"/>
          <w:rFonts w:asciiTheme="majorBidi" w:hAnsiTheme="majorBidi" w:cstheme="majorBidi"/>
          <w:rtl/>
        </w:rPr>
        <w:footnoteReference w:id="74"/>
      </w:r>
      <w:r w:rsidRPr="00740088">
        <w:rPr>
          <w:rFonts w:asciiTheme="majorBidi" w:hAnsiTheme="majorBidi" w:cstheme="majorBidi"/>
          <w:rtl/>
        </w:rPr>
        <w:t xml:space="preserve"> הלכה נוספת מתחום התפילה היא נוסח ההפטרה בשבת שבין ראש השנה ליום הכיפורים, שנקבע לפי הספרדים בניגוד לנהוג בדורות הקודמים.</w:t>
      </w:r>
      <w:r w:rsidRPr="00740088">
        <w:rPr>
          <w:rStyle w:val="a5"/>
          <w:rFonts w:asciiTheme="majorBidi" w:hAnsiTheme="majorBidi" w:cstheme="majorBidi"/>
          <w:rtl/>
        </w:rPr>
        <w:footnoteReference w:id="75"/>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ר' בצלאל אשכנזי קבל על השתלטות מנהגים חדשים בצפת בעניין מצוות התלויות בארץ, "אשר בוודאי מעצמן באו המנהגים ההם ע"י טועים, ולא שהנהיגום וותיקים כך [...] כל אלו גם הם ודאי לא מפי ותיקים יצא, אלא שכך נהגו העם, ונמשכו אחריהם כל הבאי'[ם] אחריהם מגדולם ועד קטנם [...] ולא זו בלבד, אלא שבכל המנהגים שיש בארץ כעת, אין בהם מכל המנהגים שנזכרו בגמרא שהיו בא"י, אך כדי שלא נטריח עליכם נקצר".</w:t>
      </w:r>
      <w:r w:rsidRPr="00740088">
        <w:rPr>
          <w:rStyle w:val="a5"/>
          <w:rFonts w:asciiTheme="majorBidi" w:hAnsiTheme="majorBidi" w:cstheme="majorBidi"/>
          <w:rtl/>
        </w:rPr>
        <w:footnoteReference w:id="76"/>
      </w:r>
      <w:r w:rsidRPr="00740088">
        <w:rPr>
          <w:rFonts w:asciiTheme="majorBidi" w:hAnsiTheme="majorBidi" w:cstheme="majorBidi"/>
          <w:rtl/>
        </w:rPr>
        <w:t xml:space="preserve"> י' ברסלבסקי עמד על כך, שבמהלך המאה הט"ז התעורר היישוב המוסתערבי בארץ להקפיד ולקיים מצוות התלויות בארץ, לאחר שאלו השתכחו ממנו כמעט לגמרי עד המאה הט"ו. הוא תולה זאת בהשפעת החכמים, בעיקר הספרדים, שהופיעו בצפת במהלך אותה תקופה, ופתחו בבירור דינים אלו שלא היו רלוונטים עבורם כל זמן שהתגוררו בחוץ לארץ.</w:t>
      </w:r>
      <w:r w:rsidRPr="00740088">
        <w:rPr>
          <w:rStyle w:val="a5"/>
          <w:rFonts w:asciiTheme="majorBidi" w:hAnsiTheme="majorBidi" w:cstheme="majorBidi"/>
          <w:rtl/>
        </w:rPr>
        <w:footnoteReference w:id="77"/>
      </w:r>
      <w:r w:rsidRPr="00740088">
        <w:rPr>
          <w:rFonts w:asciiTheme="majorBidi" w:hAnsiTheme="majorBidi" w:cstheme="majorBidi"/>
          <w:rtl/>
        </w:rPr>
        <w:t xml:space="preserve"> דוגמה לכך ישמש מהרלב"ח, שפנה אל ר' יוסף גרסון ור' יוסף אבידרהם לאחר שנת רס"ד, בשעה שהם ישבו כבר בארץ ישרא</w:t>
      </w:r>
      <w:r w:rsidR="002637C8">
        <w:rPr>
          <w:rFonts w:asciiTheme="majorBidi" w:hAnsiTheme="majorBidi" w:cstheme="majorBidi"/>
          <w:rtl/>
        </w:rPr>
        <w:t xml:space="preserve">ל והוא עוד לא עלה אליה, בבירור </w:t>
      </w:r>
      <w:r w:rsidRPr="00740088">
        <w:rPr>
          <w:rFonts w:asciiTheme="majorBidi" w:hAnsiTheme="majorBidi" w:cstheme="majorBidi"/>
          <w:rtl/>
        </w:rPr>
        <w:t>הלכות התלויות בארץ.</w:t>
      </w:r>
      <w:r w:rsidRPr="00740088">
        <w:rPr>
          <w:rStyle w:val="a5"/>
          <w:rFonts w:asciiTheme="majorBidi" w:hAnsiTheme="majorBidi" w:cstheme="majorBidi"/>
          <w:rtl/>
        </w:rPr>
        <w:footnoteReference w:id="78"/>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ביטוי נוסף למגמת טשטוש הזהות המוסתערבית הוא הקרבה המיוחדת של קהל זה לקהל המערבים, כפי שתיאר ר' יששכר ן' סוסאן באמצע המאה הט"ז: "ואנו קהל המערביים יצ"ו שבצפת תוב"ב נהגנו כתושבי'[ם] יצ"ו, כקדמונינו שהיו תמיד מתפללין עמהם קהל אחד, ב[בית] כנסת אחת, מנהג אחד".</w:t>
      </w:r>
      <w:r w:rsidRPr="00740088">
        <w:rPr>
          <w:rStyle w:val="a5"/>
          <w:rFonts w:asciiTheme="majorBidi" w:hAnsiTheme="majorBidi" w:cstheme="majorBidi"/>
          <w:rtl/>
        </w:rPr>
        <w:footnoteReference w:id="79"/>
      </w:r>
      <w:r w:rsidRPr="00740088">
        <w:rPr>
          <w:rFonts w:asciiTheme="majorBidi" w:hAnsiTheme="majorBidi" w:cstheme="majorBidi"/>
          <w:rtl/>
        </w:rPr>
        <w:t xml:space="preserve"> בהנחה שהכינוי 'תושבים' מכוון אל המוסתערבים,</w:t>
      </w:r>
      <w:r w:rsidRPr="00740088">
        <w:rPr>
          <w:rStyle w:val="a5"/>
          <w:rFonts w:asciiTheme="majorBidi" w:hAnsiTheme="majorBidi" w:cstheme="majorBidi"/>
          <w:rtl/>
        </w:rPr>
        <w:footnoteReference w:id="80"/>
      </w:r>
      <w:r w:rsidRPr="00740088">
        <w:rPr>
          <w:rFonts w:asciiTheme="majorBidi" w:hAnsiTheme="majorBidi" w:cstheme="majorBidi"/>
          <w:rtl/>
        </w:rPr>
        <w:t xml:space="preserve"> והכינוי 'קדמונינו' מכוון אל ותיקי המערבים בצפת, לפנינו תיאור של יחסי קרבה מיוחדים בין שני הקהלים, ויש להניח שההסבר העיקרי לכך הוא שפתם </w:t>
      </w:r>
      <w:r w:rsidRPr="00740088">
        <w:rPr>
          <w:rFonts w:asciiTheme="majorBidi" w:hAnsiTheme="majorBidi" w:cstheme="majorBidi"/>
          <w:rtl/>
        </w:rPr>
        <w:lastRenderedPageBreak/>
        <w:t>המשותפת – הערבית.</w:t>
      </w:r>
      <w:r w:rsidRPr="00740088">
        <w:rPr>
          <w:rStyle w:val="a5"/>
          <w:rFonts w:asciiTheme="majorBidi" w:hAnsiTheme="majorBidi" w:cstheme="majorBidi"/>
          <w:rtl/>
        </w:rPr>
        <w:footnoteReference w:id="81"/>
      </w:r>
      <w:r w:rsidRPr="00740088">
        <w:rPr>
          <w:rFonts w:asciiTheme="majorBidi" w:hAnsiTheme="majorBidi" w:cstheme="majorBidi"/>
          <w:rtl/>
        </w:rPr>
        <w:t xml:space="preserve"> מתיאור זה ניתן להתרשם מהסתגלות הקהלים אלו לאלו, אבל לא נראה שלכך התכוון ר' יששכר ן' סוסאן,</w:t>
      </w:r>
      <w:r w:rsidRPr="00740088">
        <w:rPr>
          <w:rStyle w:val="a5"/>
          <w:rFonts w:asciiTheme="majorBidi" w:hAnsiTheme="majorBidi" w:cstheme="majorBidi"/>
          <w:rtl/>
        </w:rPr>
        <w:footnoteReference w:id="82"/>
      </w:r>
      <w:r w:rsidRPr="00740088">
        <w:rPr>
          <w:rFonts w:asciiTheme="majorBidi" w:hAnsiTheme="majorBidi" w:cstheme="majorBidi"/>
          <w:rtl/>
        </w:rPr>
        <w:t xml:space="preserve"> אלא לקרבה מיוחדת שבאה לידי ביטוי בהשפעה המקומית</w:t>
      </w:r>
      <w:r w:rsidRPr="00740088">
        <w:rPr>
          <w:rFonts w:asciiTheme="majorBidi" w:hAnsiTheme="majorBidi" w:cstheme="majorBidi"/>
          <w:position w:val="6"/>
          <w:rtl/>
        </w:rPr>
        <w:t>-</w:t>
      </w:r>
      <w:r w:rsidRPr="00740088">
        <w:rPr>
          <w:rFonts w:asciiTheme="majorBidi" w:hAnsiTheme="majorBidi" w:cstheme="majorBidi"/>
          <w:rtl/>
        </w:rPr>
        <w:t>המוסתערבית על התפילה והמנהג של המערבים.</w:t>
      </w:r>
      <w:r w:rsidRPr="00740088">
        <w:rPr>
          <w:rStyle w:val="a5"/>
          <w:rFonts w:asciiTheme="majorBidi" w:hAnsiTheme="majorBidi" w:cstheme="majorBidi"/>
          <w:rtl/>
        </w:rPr>
        <w:footnoteReference w:id="83"/>
      </w:r>
      <w:r w:rsidRPr="00740088">
        <w:rPr>
          <w:rFonts w:asciiTheme="majorBidi" w:hAnsiTheme="majorBidi" w:cstheme="majorBidi"/>
          <w:rtl/>
        </w:rPr>
        <w:t xml:space="preserve"> קרבה זו התאפשרה בזכות התארגנות קודמת של שני הקהלים לפעול יחדיו.</w:t>
      </w:r>
      <w:r w:rsidRPr="00740088">
        <w:rPr>
          <w:rStyle w:val="a5"/>
          <w:rFonts w:asciiTheme="majorBidi" w:hAnsiTheme="majorBidi" w:cstheme="majorBidi"/>
          <w:rtl/>
        </w:rPr>
        <w:footnoteReference w:id="84"/>
      </w:r>
      <w:r w:rsidRPr="00740088">
        <w:rPr>
          <w:rFonts w:asciiTheme="majorBidi" w:hAnsiTheme="majorBidi" w:cstheme="majorBidi"/>
          <w:rtl/>
        </w:rPr>
        <w:t xml:space="preserve"> אמנם, שני הקהלים גם יחד הושפעו באופן משמעותי מן ההשפעות הספרדיות.</w:t>
      </w:r>
      <w:r w:rsidRPr="00740088">
        <w:rPr>
          <w:rStyle w:val="a5"/>
          <w:rFonts w:asciiTheme="majorBidi" w:hAnsiTheme="majorBidi" w:cstheme="majorBidi"/>
          <w:rtl/>
        </w:rPr>
        <w:footnoteReference w:id="85"/>
      </w:r>
      <w:r w:rsidRPr="00740088">
        <w:rPr>
          <w:rFonts w:asciiTheme="majorBidi" w:hAnsiTheme="majorBidi" w:cstheme="majorBidi"/>
          <w:rtl/>
        </w:rPr>
        <w:t xml:space="preserve"> </w:t>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אבל נראה כי במקביל להתעצמות הדמוגרפית של המהגרים בצפת וריבוי קהליהם השתנתה מגמה זו, והמוסתערבים בצפת פתחו במאבק לשימור זהותם המקורית, שהלכה ונטשטשה בצל ההשפעות הספרדיות. בשנת ש"ה נאספו חכמי צפת לדון במחלוקת שפרצה בין הספרדים למוסתערבים, בעניין התאמת מסורות חלוקת פרשיות הקריאה בתורה. האסיפה הכריעה לצד המוסתערבים, אבל הספרדים סירבו לקבל הכרעה זו, ובשנת ש"ח נאספו רבנים ספרדים והודיעו על הכרעתם ההפוכה, ואף ניסו לכפותה על המוסתערבים.</w:t>
      </w:r>
      <w:r w:rsidRPr="00740088">
        <w:rPr>
          <w:rStyle w:val="a5"/>
          <w:rFonts w:asciiTheme="majorBidi" w:hAnsiTheme="majorBidi" w:cstheme="majorBidi"/>
          <w:rtl/>
        </w:rPr>
        <w:footnoteReference w:id="86"/>
      </w:r>
      <w:r w:rsidRPr="00740088">
        <w:rPr>
          <w:rFonts w:asciiTheme="majorBidi" w:hAnsiTheme="majorBidi" w:cstheme="majorBidi"/>
          <w:rtl/>
        </w:rPr>
        <w:t xml:space="preserve"> לפי תיאורו של ר' יששכר ן' סוסאן, בתחילה התרצו רוב קהלי צפת לקבל את הנוהג המוסתערבי בעניין זה, וההתנגדות התעוררה רק מצד "קצת מקהלות הספרדים יצ"ו שבצפת תוב"ב".</w:t>
      </w:r>
      <w:r w:rsidRPr="00740088">
        <w:rPr>
          <w:rStyle w:val="a5"/>
          <w:rFonts w:asciiTheme="majorBidi" w:hAnsiTheme="majorBidi" w:cstheme="majorBidi"/>
          <w:rtl/>
        </w:rPr>
        <w:footnoteReference w:id="87"/>
      </w:r>
      <w:r w:rsidRPr="00740088">
        <w:rPr>
          <w:rFonts w:asciiTheme="majorBidi" w:hAnsiTheme="majorBidi" w:cstheme="majorBidi"/>
          <w:rtl/>
        </w:rPr>
        <w:t xml:space="preserve"> אפשר שתיאור זה מגמתי, אך יש בו כדי לשקף את מגמת ההתעצמות בכוח השפעתם של הספרדים. י' הקר הטעים, שאין כל רקע הלכתי לשינוי במנהג, אלא רק העדפת המנהג הספרדי שנראה בעיניהם מוצלח יותר, והעדפת האחידות עם קהילות חוץ לארץ על פני המנהג המקומי הוותיק.</w:t>
      </w:r>
      <w:r w:rsidRPr="00740088">
        <w:rPr>
          <w:rStyle w:val="a5"/>
          <w:rFonts w:asciiTheme="majorBidi" w:hAnsiTheme="majorBidi" w:cstheme="majorBidi"/>
          <w:rtl/>
        </w:rPr>
        <w:footnoteReference w:id="88"/>
      </w:r>
    </w:p>
    <w:p w:rsidR="003B386C" w:rsidRPr="00740088" w:rsidRDefault="003B386C" w:rsidP="0057553B">
      <w:pPr>
        <w:spacing w:line="360" w:lineRule="auto"/>
        <w:rPr>
          <w:rFonts w:asciiTheme="majorBidi" w:hAnsiTheme="majorBidi" w:cstheme="majorBidi"/>
          <w:rtl/>
        </w:rPr>
      </w:pPr>
      <w:r w:rsidRPr="00740088">
        <w:rPr>
          <w:rFonts w:asciiTheme="majorBidi" w:hAnsiTheme="majorBidi" w:cstheme="majorBidi"/>
          <w:rtl/>
        </w:rPr>
        <w:t>נושא אחר שבו ניסו המוסתערבים להיאחז היה בשאלת מנהג הוצאת ספר תורה בשחרית בפורים, על רקע מנהגם השונה של הספרדים. המחלוקת פרצה בשנת שי"ט, לאחר שמנהג הספרדים כבר הצליח לחדור אל בית הכנסת של המערבים והמוסתערבים, אלא שהוא נבלם בתום בירור שנערך דווקא בפני החכם הספרדי ר' יוסף קארו, שגיבה את המנהג המערבי</w:t>
      </w:r>
      <w:r w:rsidRPr="00740088">
        <w:rPr>
          <w:rFonts w:asciiTheme="majorBidi" w:hAnsiTheme="majorBidi" w:cstheme="majorBidi"/>
          <w:position w:val="6"/>
          <w:rtl/>
        </w:rPr>
        <w:t>-</w:t>
      </w:r>
      <w:r w:rsidRPr="00740088">
        <w:rPr>
          <w:rFonts w:asciiTheme="majorBidi" w:hAnsiTheme="majorBidi" w:cstheme="majorBidi"/>
          <w:rtl/>
        </w:rPr>
        <w:t>מוסתערבי.</w:t>
      </w:r>
      <w:r w:rsidRPr="00740088">
        <w:rPr>
          <w:rStyle w:val="a5"/>
          <w:rFonts w:asciiTheme="majorBidi" w:hAnsiTheme="majorBidi" w:cstheme="majorBidi"/>
          <w:rtl/>
        </w:rPr>
        <w:footnoteReference w:id="89"/>
      </w:r>
      <w:r w:rsidRPr="00740088">
        <w:rPr>
          <w:rFonts w:asciiTheme="majorBidi" w:hAnsiTheme="majorBidi" w:cstheme="majorBidi"/>
          <w:rtl/>
        </w:rPr>
        <w:t xml:space="preserve"> בפועל, המשיכה כל קבוצה לקיים את מנהגיה, כפי שהעיד ר' יששכר ן' סוסאן: "והמקומות שקורין בהם המגלה שני ימים [...] הסדר להם בקריא'[ת] התור'[ה] ביום השני כסדר היום הראשון. ומנהג זה פשוט פה בכל המוסתערבים יצ"ו תושבי ארץ צפת שבגליל העליון תוב"ב וכפריה בירי"ה ועי"ן אל זיתו"ן, ושמענו שכן נוהגין גם בעז"ה ובדמש"ק [...] וקהילות הספרדים יצ"ו שנתוספו מח"ל [=מחוץ לארץ] פה צפת שבגליל העליון תוב"ב </w:t>
      </w:r>
      <w:r w:rsidRPr="00740088">
        <w:rPr>
          <w:rFonts w:asciiTheme="majorBidi" w:hAnsiTheme="majorBidi" w:cstheme="majorBidi"/>
          <w:rtl/>
        </w:rPr>
        <w:lastRenderedPageBreak/>
        <w:t>על התושבי'[ם] יצ"ו הקדמונים אינן מעלין ספר תורה ביום שני [...] ובאמת שכמה חכמים מספרדים רבנים גדולים גדולי הדורות זצ"ל שדרו עמהם בצפת תוב"ב, אף על פי שהם בקהילותיהם לא היו מעלים, ולא שמענו ששום אחד מהם דבר נגד מנהג המעלים, אלא שאלו אחזו במנהגם מפני אלו ואלו אחזו במנהגם בפני אלו".</w:t>
      </w:r>
      <w:r w:rsidRPr="00740088">
        <w:rPr>
          <w:rStyle w:val="a5"/>
          <w:rFonts w:asciiTheme="majorBidi" w:hAnsiTheme="majorBidi" w:cstheme="majorBidi"/>
          <w:rtl/>
        </w:rPr>
        <w:footnoteReference w:id="90"/>
      </w:r>
    </w:p>
    <w:p w:rsidR="00E84D88" w:rsidRDefault="00E84D88" w:rsidP="0057553B">
      <w:pPr>
        <w:spacing w:line="360" w:lineRule="auto"/>
        <w:rPr>
          <w:rFonts w:asciiTheme="majorBidi" w:hAnsiTheme="majorBidi" w:cstheme="majorBidi" w:hint="cs"/>
          <w:rtl/>
        </w:rPr>
      </w:pPr>
    </w:p>
    <w:p w:rsidR="000F3B63" w:rsidRPr="000F3B63" w:rsidRDefault="000F3B63" w:rsidP="0057553B">
      <w:pPr>
        <w:spacing w:line="360" w:lineRule="auto"/>
        <w:rPr>
          <w:rFonts w:asciiTheme="majorBidi" w:hAnsiTheme="majorBidi" w:cstheme="majorBidi" w:hint="cs"/>
          <w:b/>
          <w:bCs/>
          <w:sz w:val="28"/>
          <w:szCs w:val="28"/>
          <w:rtl/>
        </w:rPr>
      </w:pPr>
      <w:r w:rsidRPr="000F3B63">
        <w:rPr>
          <w:rFonts w:asciiTheme="majorBidi" w:hAnsiTheme="majorBidi" w:cstheme="majorBidi" w:hint="cs"/>
          <w:b/>
          <w:bCs/>
          <w:sz w:val="28"/>
          <w:szCs w:val="28"/>
          <w:rtl/>
        </w:rPr>
        <w:t>סכום</w:t>
      </w:r>
    </w:p>
    <w:p w:rsidR="000F3B63" w:rsidRDefault="000F3B63" w:rsidP="0057553B">
      <w:pPr>
        <w:spacing w:line="360" w:lineRule="auto"/>
        <w:rPr>
          <w:rtl/>
        </w:rPr>
      </w:pPr>
      <w:r>
        <w:rPr>
          <w:rFonts w:hint="cs"/>
          <w:rtl/>
        </w:rPr>
        <w:t xml:space="preserve">במאות שקדמו למאה השש עשרה עלו מהגרים יהודים רבים מארצות שונות לארץ ישראל, נשאו עמם מנהגים שונים, והתיישבו לצדם של תושבי הארץ הוותיקים, מוסתערבים או מהגרים ותיקים. במשך הזמן נרקמו מוסכמות ציבוריות וחברתיות שאפשרו קיומם של מנהגים משותפים. בואה של התפוצה הספרדית לאחר הגירוש הפרה את המרקם, ובהשפעתה החזקה אומצו מנהגיה על ידי המערבים, המוסתערבים ומרבית הקהלים האחרים, כמובן על חשבון מנהגיהם הקדומים. </w:t>
      </w:r>
    </w:p>
    <w:p w:rsidR="0090194B" w:rsidRDefault="000F3B63" w:rsidP="0057553B">
      <w:pPr>
        <w:spacing w:line="360" w:lineRule="auto"/>
        <w:rPr>
          <w:rFonts w:hint="cs"/>
          <w:rtl/>
        </w:rPr>
      </w:pPr>
      <w:r>
        <w:rPr>
          <w:rFonts w:hint="cs"/>
          <w:rtl/>
        </w:rPr>
        <w:t xml:space="preserve">חכמי הספרדים בארץ ישראל, ובראשם רבי יעקב בירב ורבי יוסף קארו, הביעו מלכתחילה נכונות הלכתית עקרונית להכיל את מנהגיה הקדומים של ארץ ישראל, ו'להתאים' את התנהגותם הדתית לזו שהונהגה בארץ ישראל מקדמת דנא. אבל </w:t>
      </w:r>
      <w:r w:rsidR="0057553B">
        <w:rPr>
          <w:rFonts w:hint="cs"/>
          <w:rtl/>
        </w:rPr>
        <w:t>למעשה</w:t>
      </w:r>
      <w:r>
        <w:rPr>
          <w:rFonts w:hint="cs"/>
          <w:rtl/>
        </w:rPr>
        <w:t xml:space="preserve"> עקרון זה, של גמישות בקבלת מנהגים מצדם של מגורשי חצי האי האיברי, לא ננקט לרוב</w:t>
      </w:r>
      <w:r w:rsidR="0057553B">
        <w:rPr>
          <w:rFonts w:hint="cs"/>
          <w:rtl/>
        </w:rPr>
        <w:t>,</w:t>
      </w:r>
      <w:r>
        <w:rPr>
          <w:rFonts w:hint="cs"/>
          <w:rtl/>
        </w:rPr>
        <w:t xml:space="preserve"> והם ביקשו להחיל את מנהגיהם מתוך תודעת עליונות, בדומה לריכוזים האחרים בעולם היהודי שבתוכם נקלטו.</w:t>
      </w:r>
      <w:r>
        <w:rPr>
          <w:rFonts w:hint="cs"/>
          <w:rtl/>
        </w:rPr>
        <w:t xml:space="preserve"> </w:t>
      </w:r>
    </w:p>
    <w:p w:rsidR="00E84D88" w:rsidRDefault="00AA542E" w:rsidP="0057553B">
      <w:pPr>
        <w:spacing w:line="360" w:lineRule="auto"/>
        <w:rPr>
          <w:rFonts w:hint="cs"/>
          <w:rtl/>
        </w:rPr>
      </w:pPr>
      <w:r>
        <w:rPr>
          <w:rFonts w:hint="cs"/>
          <w:rtl/>
        </w:rPr>
        <w:t xml:space="preserve">כך הביע </w:t>
      </w:r>
      <w:r w:rsidR="00D835FA">
        <w:rPr>
          <w:rFonts w:hint="cs"/>
          <w:rtl/>
        </w:rPr>
        <w:t xml:space="preserve">זאת </w:t>
      </w:r>
      <w:r w:rsidR="00436FC4">
        <w:rPr>
          <w:rFonts w:hint="cs"/>
          <w:rtl/>
        </w:rPr>
        <w:t xml:space="preserve">ר' משה ארוקיס מאדריאנופול: </w:t>
      </w:r>
      <w:r w:rsidR="006D4E29">
        <w:rPr>
          <w:rFonts w:hint="cs"/>
          <w:rtl/>
        </w:rPr>
        <w:t>"וגם אנחנו, שארית פליטת גלות ספרד,</w:t>
      </w:r>
      <w:r w:rsidR="0090194B">
        <w:rPr>
          <w:rFonts w:hint="cs"/>
          <w:rtl/>
        </w:rPr>
        <w:t xml:space="preserve"> גם כי טלטלנו חרב השמד טלטולא דגברא קשה, עד קבענו ישיבתנו פה מלכות תוגרמה [=האימפריה העות'מאנית], טעמנו עמד בנו וריחנו לא נמר, ככחנו אז כחנו עתה, להחזיק במנהג חכמי ספרד היוצא להן מכח ההלכה, והנה אנחנו באים בארץ בכחא דרובא ובכחא דחזקה אלימתא ומבוררת שנהגנו בה אנחנו ואבותנו זה כמה שנים, ומתחברים אל מנהגנו, הקהלות הקדושות אשר באו ובאים בכל יום מגירושי שאר המלכיות, ואין פוצה פה ומצפצף בחכם מכולם לפקפק בזה. כ"ש [=כל שכן] שראוים לספרדיים בכל מקום שהם יחזיקו במנהג אבותיהם בידיהם, ושבח וגדולה ליוצר בראשית, הספרדים במלכות הזאת הלא הם רובא דמינכר</w:t>
      </w:r>
      <w:r w:rsidR="00E4496D">
        <w:rPr>
          <w:rFonts w:hint="cs"/>
          <w:rtl/>
        </w:rPr>
        <w:t xml:space="preserve"> [=רוב מוחלט]</w:t>
      </w:r>
      <w:r w:rsidR="0090194B">
        <w:rPr>
          <w:rFonts w:hint="cs"/>
          <w:rtl/>
        </w:rPr>
        <w:t xml:space="preserve"> בכמות ואיכות, והיהודים יושבי הארץ ישובים ראשונה במלכות הזה</w:t>
      </w:r>
      <w:r>
        <w:rPr>
          <w:rFonts w:hint="cs"/>
          <w:rtl/>
        </w:rPr>
        <w:t xml:space="preserve"> </w:t>
      </w:r>
      <w:r w:rsidR="00111084">
        <w:rPr>
          <w:rFonts w:hint="cs"/>
          <w:rtl/>
        </w:rPr>
        <w:t xml:space="preserve">[=התושבים הוותיקים] </w:t>
      </w:r>
      <w:r>
        <w:rPr>
          <w:rFonts w:hint="cs"/>
          <w:rtl/>
        </w:rPr>
        <w:t>אינם בערכנו, שנים שלשה גרגרים בראש אמיר ותרי ממאה, ולמה נלך אחריהם לראות מה הם נוהגים, עד שנפול ברשת שנוי ותמורות כל מדינה ומדינה</w:t>
      </w:r>
      <w:r w:rsidR="00C33D6B">
        <w:rPr>
          <w:rFonts w:hint="cs"/>
          <w:rtl/>
        </w:rPr>
        <w:t xml:space="preserve"> [...] וידוע היא שהספרדיים וחכמיהם בזה המלכות, עם שאר הקהלות המתחברות אליהם ש"ל [=שבח לאל], הלא הם הרבים, להם לבדם נתנה הארץ, והם הודה וזיוה והדרה, מאירים לארץ ולדרים עליה, </w:t>
      </w:r>
      <w:r w:rsidR="00D835FA">
        <w:rPr>
          <w:rFonts w:hint="cs"/>
          <w:rtl/>
        </w:rPr>
        <w:t>ומי הכניסם שיצאו</w:t>
      </w:r>
      <w:r w:rsidR="00111084">
        <w:rPr>
          <w:rFonts w:hint="cs"/>
          <w:rtl/>
        </w:rPr>
        <w:t xml:space="preserve">, </w:t>
      </w:r>
      <w:r w:rsidR="00D835FA">
        <w:rPr>
          <w:rFonts w:hint="cs"/>
          <w:rtl/>
        </w:rPr>
        <w:t>הלא כל המקומות האלו נחשבו אף הם גם לנו. וראוי למעוט</w:t>
      </w:r>
      <w:r w:rsidR="00C33D6B">
        <w:rPr>
          <w:rFonts w:hint="cs"/>
          <w:rtl/>
        </w:rPr>
        <w:t xml:space="preserve">ים היושבים ראשונה במלכות בכל עניני מנהגי התורה, ממנו </w:t>
      </w:r>
      <w:r w:rsidR="00111084">
        <w:rPr>
          <w:rFonts w:hint="cs"/>
          <w:rtl/>
        </w:rPr>
        <w:t xml:space="preserve">[=מאתנו, הספרדים] </w:t>
      </w:r>
      <w:r w:rsidR="00C33D6B">
        <w:rPr>
          <w:rFonts w:hint="cs"/>
          <w:rtl/>
        </w:rPr>
        <w:t>יראו וכן יעשו, ולא יעשו אגודות אגודות</w:t>
      </w:r>
      <w:r w:rsidR="00D835FA">
        <w:rPr>
          <w:rFonts w:hint="cs"/>
          <w:rtl/>
        </w:rPr>
        <w:t>, ולא יראה תורה כב' תורות</w:t>
      </w:r>
      <w:r w:rsidR="00111084">
        <w:rPr>
          <w:rFonts w:hint="cs"/>
          <w:rtl/>
        </w:rPr>
        <w:t xml:space="preserve">. ופשוט הוא שאין התורה </w:t>
      </w:r>
      <w:r w:rsidR="00111084">
        <w:rPr>
          <w:rFonts w:hint="cs"/>
          <w:rtl/>
        </w:rPr>
        <w:lastRenderedPageBreak/>
        <w:t>מתקיימת בידינו אלא מהמנהגים המקובלים בידינו מהחכמים הגדולים בעלי הוראה, כי הם המורים כן מתחילה הלכה למעשה ע"פ מסורת קבלה שהיה בהדם מרבם, ורבם מרבם".</w:t>
      </w:r>
      <w:r>
        <w:rPr>
          <w:rStyle w:val="a5"/>
          <w:rtl/>
        </w:rPr>
        <w:footnoteReference w:id="91"/>
      </w:r>
    </w:p>
    <w:p w:rsidR="00111084" w:rsidRDefault="00111084" w:rsidP="0057553B">
      <w:pPr>
        <w:spacing w:line="360" w:lineRule="auto"/>
        <w:rPr>
          <w:rFonts w:hint="cs"/>
          <w:rtl/>
        </w:rPr>
      </w:pPr>
      <w:r>
        <w:rPr>
          <w:rFonts w:hint="cs"/>
          <w:rtl/>
        </w:rPr>
        <w:t>בפועל, הספרדים היו מאוד דומיננטים, ומנהגיהם החדשים האפילו על מנהגי הארץ המוסתערביים הישנים. מקור מנהגיהם נשכחו, וברבות השנים 'התבוללו' בתוך הקהילות האחרות. מלחמת הזהות של המוסתערבים נכשלה במבחן הזמן מול העוצמה הספרדית, מספרם הגדול של המהגרים ומעמד חכמיהם המרובים והגדולים, ונראה שצביונם הלך ונשחק בהדרגה. במרוצת הדורות כבר נעלמה קהילת המוסתערבים כמעט לחלוטין, ונשכחה כמעט מן התודעה ההיסטורית.</w:t>
      </w:r>
    </w:p>
    <w:p w:rsidR="0057553B" w:rsidRDefault="0057553B" w:rsidP="0057553B">
      <w:pPr>
        <w:spacing w:line="360" w:lineRule="auto"/>
        <w:rPr>
          <w:rFonts w:hint="cs"/>
          <w:rtl/>
        </w:rPr>
      </w:pPr>
    </w:p>
    <w:p w:rsidR="0057553B" w:rsidRDefault="0057553B" w:rsidP="0057553B">
      <w:pPr>
        <w:spacing w:line="360" w:lineRule="auto"/>
        <w:rPr>
          <w:rFonts w:hint="cs"/>
          <w:rtl/>
        </w:rPr>
      </w:pPr>
    </w:p>
    <w:p w:rsidR="0057553B" w:rsidRPr="00F13ABD" w:rsidRDefault="0057553B" w:rsidP="0057553B">
      <w:pPr>
        <w:spacing w:line="360" w:lineRule="auto"/>
        <w:rPr>
          <w:rFonts w:asciiTheme="majorBidi" w:hAnsiTheme="majorBidi" w:cstheme="majorBidi"/>
          <w:b/>
          <w:bCs/>
          <w:rtl/>
        </w:rPr>
      </w:pPr>
      <w:r w:rsidRPr="00F13ABD">
        <w:rPr>
          <w:rFonts w:asciiTheme="majorBidi" w:hAnsiTheme="majorBidi" w:cstheme="majorBidi"/>
          <w:b/>
          <w:bCs/>
          <w:rtl/>
        </w:rPr>
        <w:t>רשימת מקורות</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אבקת רוכל = ר' יוסף קארו, שאלות ותשובות אבקת רוכל, שאלוניקי תקנ"א.</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אלשיך = ר' משה אלשיך, שאלות ותשובות, ויניציאה שס"ה.</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אשכנזי = ר' בצלאל אשכנזי, שאלות ותשובות, ויניציאה שנ"ה.</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באסולה = מסע ר' משה באסולה, בתוך: א' יערי, מסעות ארץ ישראל, תל אביב תש"ו, עמ' 165-125.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בירב = ר' יעקב בירב, שאלות ותשובות, ויניציאה תכ"ג.</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בניהו, הנהגות האר"י = מ' בניהו, ספר תולדות האר"י, ירושלים תשכ"ז, עמ' 354-307.</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בניהו, תולדות האר"י = הנ"ל, שם, עמ' 205-11.</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גלאנטי = ר' משה גלאנטי, שאלות ותשובות, ויניציאה שס"ח.</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כסף משנה = ר' יוסף קארו, כסף משנה, בתוך: ר' משה בן מימון, משנה תורה, ירושלים תשי"ד.</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מבי"ט = ר' משה מטראני, שאלות ותשובות, ויניציאה שפ"ט-ש"צ.</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מהריט"ץ = ר' יום טוב צהלון, שאלות ותשובות, ויניציאה תנ"ד.</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מהרלב"ח = ר' לוי בן חביב, שאלות ותשובות, ויניציאה שכ"ה.</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מהרשד"ם - ר' שמואל די מדינה, שאלות ותשובות, שלוניקי שנ"ד-שנ"ח.</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סמברי, תולדות האר"י = י' סמברי, דברי יוסף (מהדורת ש' שטובר), ירושלים תשנ"ד, עמ' 360-328.</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עיבור שנים = ר' יששכר בן סוסאן, עיבור שנים, ויניציאה של"ט.</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ראשית חכמה = ר' אליהו די וידאש, ראשית חכמה, ויניציאה של"ט.</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רדב"ז = ר' דוד בן זמרא, שאלות ותשובות, ווארשא תרמ"ב.</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רמ"ע מפאנו = ר' מנחם עזריה די פאנו, שאלות ותשובות, ויניציאה 1600.</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שו"ע = ר' יוסף קארו, שולחן ערוך, ירושלים תשי"ד-תשט"ז.</w:t>
      </w:r>
    </w:p>
    <w:p w:rsidR="0057553B" w:rsidRPr="00F13ABD" w:rsidRDefault="0057553B" w:rsidP="0057553B">
      <w:pPr>
        <w:spacing w:line="360" w:lineRule="auto"/>
        <w:rPr>
          <w:rFonts w:asciiTheme="majorBidi" w:hAnsiTheme="majorBidi" w:cstheme="majorBidi"/>
          <w:rtl/>
        </w:rPr>
      </w:pPr>
    </w:p>
    <w:p w:rsidR="0057553B" w:rsidRPr="00F13ABD" w:rsidRDefault="0057553B" w:rsidP="0057553B">
      <w:pPr>
        <w:spacing w:line="360" w:lineRule="auto"/>
        <w:rPr>
          <w:rFonts w:asciiTheme="majorBidi" w:hAnsiTheme="majorBidi" w:cstheme="majorBidi"/>
          <w:b/>
          <w:bCs/>
          <w:rtl/>
        </w:rPr>
      </w:pPr>
      <w:r w:rsidRPr="00F13ABD">
        <w:rPr>
          <w:rFonts w:asciiTheme="majorBidi" w:hAnsiTheme="majorBidi" w:cstheme="majorBidi"/>
          <w:b/>
          <w:bCs/>
          <w:rtl/>
        </w:rPr>
        <w:t>רשימת מחקרים</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lastRenderedPageBreak/>
        <w:t xml:space="preserve">אידל, יחידים וקבוצות = </w:t>
      </w:r>
      <w:r w:rsidRPr="00F13ABD">
        <w:rPr>
          <w:rFonts w:asciiTheme="majorBidi" w:hAnsiTheme="majorBidi" w:cstheme="majorBidi"/>
        </w:rPr>
        <w:t>M. Idel, "On Mobility, Individuals and Groups: Prolegomenon for a Sociological Approach to Sixteenth Century Kabbalah", Kabbalah – Journal for the Study of Jewish Mystical Texts, 3 (1988), pp. 145-173.</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 xml:space="preserve">אינלצ'יק, חברה וכלכלה = </w:t>
      </w:r>
      <w:r w:rsidRPr="00F13ABD">
        <w:rPr>
          <w:rFonts w:asciiTheme="majorBidi" w:hAnsiTheme="majorBidi" w:cstheme="majorBidi"/>
        </w:rPr>
        <w:t>H. İnalcik, Studies in Ottoman Social and Economic History, London 1985.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אלבוים, השפעות = י' אלבוים, "השפעות תרבות יהודי ספרד על יהודי אשכנז ופולין במאות הט"ו-ט"ז", י' דן (עורך), תרבות והיסטוריה, ירושלים תשמ"ז, עמ' 120-95.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ארד, דיסרטציה = ד' ארד, היהודים המוסתערבים בסוריה ארץ ישראל ומצרים 1700-1330 – עבודה לשם קבלת תואר דוקטור, ירושלים תשע"ג.</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ארד, הקדש = "הקהל כגוף כלכלי: הקדש המוסתערבים בקהיר לאור תעודות מן הגניזה", גנזי קדם, ז (תשע"א), עמ' 69-25.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ארד, ציאח = הנ"ל, "לדמותו של בעל הלכה מוסתערבי במאה השש עשרה: ר' יוסף ן' ציאח", שלם, ח (תשס"ט), עמ' 248-134.</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גילת, לא תתגודדו = י"ד גילת, "לא תתגודדו", בר אילן: ספר השנה של אוניברסיטת בר אילן מדעי היהדות ומדעי הרוח, יח-יט (תשמ"א), עמ' 98-79.</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גליס, מנהגי א"י = י' גליס, מנהגי ארץ ישראל, ירושלים תשנ"ד.</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דודסון, דיסרטציה = א' דודסון, "עולמם של חכמי צפת בין השנים 1615-1540, מעמדם החברתי והדתי – עבודה לשם קבלת תואר דוקטור, ירושלים תש"ע.</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הקר, גאון ודכאון = י' הקר, "גאון ודכאון – קטבים בהווייתם הרוחנית והחברתית של יוצאי ספרד ופורטוגאל באימפריה העות'מאנית", ר' בונפיל ואחרים (עורכים), תרבות וחברה בתולדות ישראל בימי הביניים – קובץ מאמרים לזכרו של חיים הלל בן ששון, ירושלים תשמ"ט, עמ' 586-541.</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הקר, המוסתערבים = הנ"ל, "לדמותה של הנהגת קהל המוסתערבים בקהיר בסוף המאה השש עשרה", י' הקר וי' הראל (עורכים), לא יסור שבט מיהודה: הנהגה, רבנות וקהילה בתולדות ישראל – מחקרים מוגשים לפרופ' שמעון שוורצפוקס, ירושלים תשע"א, עמ' 100-89.</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הקר, סוסאן = הנ"ל, "יששכר אבן סוסאן על עליית כוהנים לתורה בשמחת חתנים", ח' עמית ואחרים (עורכים), מנחה למנחם: קובץ מאמרים לכבוד הרב מנחם הכהן, ירושלים תשס"ח, עמ' 97-79.</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וסטרייך, תמורות = א' וסטרייך, תמורות במעמד האישה במשפט העברי: מסע בין מסורות, ירושלים תשס"ב.</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כהן</w:t>
      </w:r>
      <w:r w:rsidRPr="00F13ABD">
        <w:rPr>
          <w:rFonts w:asciiTheme="majorBidi" w:hAnsiTheme="majorBidi" w:cstheme="majorBidi"/>
          <w:position w:val="6"/>
          <w:rtl/>
        </w:rPr>
        <w:t>-</w:t>
      </w:r>
      <w:r w:rsidRPr="00F13ABD">
        <w:rPr>
          <w:rFonts w:asciiTheme="majorBidi" w:hAnsiTheme="majorBidi" w:cstheme="majorBidi"/>
          <w:rtl/>
        </w:rPr>
        <w:t xml:space="preserve">לואיס, המאה הט"ז = </w:t>
      </w:r>
      <w:r w:rsidRPr="00F13ABD">
        <w:rPr>
          <w:rFonts w:asciiTheme="majorBidi" w:hAnsiTheme="majorBidi" w:cstheme="majorBidi"/>
        </w:rPr>
        <w:t>A. Cohen and B. Lewis, Population and Revenue in the Towns of Palestine in the Sixteenth Century, Princeton 1978.</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ליטמן, חזרת הש"ץ = "חזרת הש"ץ – ההלכה והמציאות ההיסטורית", טללי אורות, ז (תשנ"ז), עמ' 92-81.</w:t>
      </w:r>
    </w:p>
    <w:p w:rsidR="0057553B" w:rsidRPr="00F13ABD" w:rsidRDefault="0057553B" w:rsidP="0057553B">
      <w:pPr>
        <w:spacing w:line="360" w:lineRule="auto"/>
        <w:rPr>
          <w:rFonts w:asciiTheme="majorBidi" w:hAnsiTheme="majorBidi" w:cstheme="majorBidi" w:hint="cs"/>
          <w:rtl/>
        </w:rPr>
      </w:pPr>
      <w:r w:rsidRPr="00F13ABD">
        <w:rPr>
          <w:rFonts w:asciiTheme="majorBidi" w:hAnsiTheme="majorBidi" w:cstheme="majorBidi"/>
          <w:rtl/>
        </w:rPr>
        <w:lastRenderedPageBreak/>
        <w:t>למדן, יחסים = ר' למדן, "יחסים בין עדתיים בצפת לאחר גירוש ספרד – בחינה מחודשת", פעמים, 72 (תשנ"ז), עמ' 83-75.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נאה, על המחזור = ש' נאה, "על המחזור השבע שנתי של הקריאה בתורה בארץ ישראל", תרביץ, עד, א (תשס"ה), עמ' 75-43.</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פאור הלוי, יחס = י' פאור הלוי, "יחס מגורשי ספרד וצאצאיהם למוסדות חינוך", שבט ועם, סדרה שנייה ד [ט] (1980), עמ' 339-319.</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פליישר, קריאה = ע' פליישר, "קריאה חד שנתית ותלת שנתית בתורה בבית הכנסת הקדום", תרביץ, סא, א (תשנ"ב), עמ' 43-25.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 xml:space="preserve">קפדר, העות'מאנים = </w:t>
      </w:r>
      <w:r w:rsidRPr="00F13ABD">
        <w:rPr>
          <w:rFonts w:asciiTheme="majorBidi" w:hAnsiTheme="majorBidi" w:cstheme="majorBidi"/>
        </w:rPr>
        <w:t>C. Kafadar, "The Ottomans and Europe", T.A. Brady and others (eds.), Handbook of European History 1400- 1600 Late Middle Ages: Renaissance and Reformation, 1, Leiden New York Köln 1994, pp. 589-635.</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רוזן, המוסתערבים = מ' רוזן, "מעמד המוסתערבים והיחסים בין העדות ביישוב היהודי בארץ ישראל משלהי המאה הט"ו עד שלהי המאה הי"ז", קתדרה, 17 (תשמ"א), עמ' 101-73.</w:t>
      </w:r>
    </w:p>
    <w:p w:rsidR="0057553B" w:rsidRPr="00F13ABD" w:rsidRDefault="0057553B" w:rsidP="0057553B">
      <w:pPr>
        <w:spacing w:line="360" w:lineRule="auto"/>
        <w:rPr>
          <w:rFonts w:asciiTheme="majorBidi" w:hAnsiTheme="majorBidi" w:cstheme="majorBidi"/>
          <w:rtl/>
        </w:rPr>
      </w:pPr>
      <w:r w:rsidRPr="00F13ABD">
        <w:rPr>
          <w:rFonts w:asciiTheme="majorBidi" w:hAnsiTheme="majorBidi" w:cstheme="majorBidi"/>
          <w:rtl/>
        </w:rPr>
        <w:t>שרמן, כוחו = א' שרמן, "כוחו של מנהג בקביעת יסודות כללי ההוראה והפסיקה בקהילות אשכנז וספרד", תורה שבעל פה, מא (תש"ס), עמ' נו-פא.</w:t>
      </w:r>
    </w:p>
    <w:p w:rsidR="0057553B" w:rsidRDefault="0057553B" w:rsidP="0057553B">
      <w:pPr>
        <w:spacing w:line="360" w:lineRule="auto"/>
        <w:rPr>
          <w:rtl/>
        </w:rPr>
      </w:pPr>
    </w:p>
    <w:p w:rsidR="00111084" w:rsidRDefault="00111084" w:rsidP="0057553B">
      <w:pPr>
        <w:spacing w:line="360" w:lineRule="auto"/>
        <w:rPr>
          <w:rFonts w:hint="cs"/>
          <w:rtl/>
        </w:rPr>
      </w:pPr>
    </w:p>
    <w:p w:rsidR="00C33D6B" w:rsidRDefault="00C33D6B" w:rsidP="0057553B">
      <w:pPr>
        <w:spacing w:line="360" w:lineRule="auto"/>
        <w:rPr>
          <w:rFonts w:hint="cs"/>
          <w:rtl/>
        </w:rPr>
      </w:pPr>
    </w:p>
    <w:p w:rsidR="00C33D6B" w:rsidRPr="0090194B" w:rsidRDefault="00C33D6B" w:rsidP="0057553B">
      <w:pPr>
        <w:spacing w:line="360" w:lineRule="auto"/>
        <w:rPr>
          <w:rFonts w:hint="cs"/>
          <w:rtl/>
        </w:rPr>
      </w:pPr>
    </w:p>
    <w:p w:rsidR="00E84D88" w:rsidRDefault="00E84D88" w:rsidP="0057553B">
      <w:pPr>
        <w:spacing w:line="360" w:lineRule="auto"/>
        <w:rPr>
          <w:rFonts w:asciiTheme="majorBidi" w:hAnsiTheme="majorBidi" w:cstheme="majorBidi" w:hint="cs"/>
          <w:sz w:val="36"/>
          <w:szCs w:val="36"/>
          <w:u w:val="single"/>
          <w:rtl/>
        </w:rPr>
      </w:pPr>
    </w:p>
    <w:sectPr w:rsidR="00E84D88" w:rsidSect="00DD46B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6C" w:rsidRDefault="003B386C" w:rsidP="003B386C">
      <w:r>
        <w:separator/>
      </w:r>
    </w:p>
  </w:endnote>
  <w:endnote w:type="continuationSeparator" w:id="0">
    <w:p w:rsidR="003B386C" w:rsidRDefault="003B386C" w:rsidP="003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6C" w:rsidRDefault="003B386C" w:rsidP="003B386C">
      <w:r>
        <w:separator/>
      </w:r>
    </w:p>
  </w:footnote>
  <w:footnote w:type="continuationSeparator" w:id="0">
    <w:p w:rsidR="003B386C" w:rsidRDefault="003B386C" w:rsidP="003B386C">
      <w:r>
        <w:continuationSeparator/>
      </w:r>
    </w:p>
  </w:footnote>
  <w:footnote w:id="1">
    <w:p w:rsidR="002D4390" w:rsidRDefault="002D4390" w:rsidP="000C1535">
      <w:pPr>
        <w:pStyle w:val="a3"/>
        <w:rPr>
          <w:rFonts w:hint="cs"/>
          <w:rtl/>
        </w:rPr>
      </w:pPr>
      <w:r>
        <w:rPr>
          <w:rStyle w:val="a5"/>
        </w:rPr>
        <w:footnoteRef/>
      </w:r>
      <w:r>
        <w:rPr>
          <w:rtl/>
        </w:rPr>
        <w:t xml:space="preserve"> </w:t>
      </w:r>
      <w:r>
        <w:rPr>
          <w:rFonts w:hint="cs"/>
          <w:rtl/>
        </w:rPr>
        <w:t>מאמר זה מושתת על עבודת הדוקטורט שנכתבה באוניברסיטה העברית בירושלים, בהנחיית פרופ' יוסף הקר, ואושרה ב</w:t>
      </w:r>
      <w:r w:rsidR="000C1535" w:rsidRPr="00C965EC">
        <w:rPr>
          <w:rFonts w:hint="cs"/>
          <w:position w:val="6"/>
          <w:rtl/>
        </w:rPr>
        <w:t>-</w:t>
      </w:r>
      <w:r>
        <w:rPr>
          <w:rFonts w:hint="cs"/>
          <w:rtl/>
        </w:rPr>
        <w:t>2010: "עולמם של חכמי צפת בין השנים 1615-1540, מעמדם החברתי והדתי".</w:t>
      </w:r>
    </w:p>
  </w:footnote>
  <w:footnote w:id="2">
    <w:p w:rsidR="00740088" w:rsidRPr="00E57BF9" w:rsidRDefault="00740088" w:rsidP="002D4390">
      <w:pPr>
        <w:pStyle w:val="a3"/>
        <w:spacing w:before="120" w:after="120"/>
      </w:pPr>
      <w:r w:rsidRPr="00E57BF9">
        <w:rPr>
          <w:rStyle w:val="a5"/>
        </w:rPr>
        <w:footnoteRef/>
      </w:r>
      <w:r w:rsidRPr="00E57BF9">
        <w:rPr>
          <w:rFonts w:hint="cs"/>
          <w:rtl/>
        </w:rPr>
        <w:t xml:space="preserve"> ר' יחיאל מיכל מארפשטיק, מנחה חדשה, קראקא של"ו, דף פב ע"א</w:t>
      </w:r>
      <w:r w:rsidR="002D4390">
        <w:rPr>
          <w:rFonts w:hint="cs"/>
          <w:rtl/>
        </w:rPr>
        <w:t>.</w:t>
      </w:r>
      <w:r w:rsidRPr="00E57BF9">
        <w:rPr>
          <w:rFonts w:hint="cs"/>
          <w:rtl/>
        </w:rPr>
        <w:t xml:space="preserve"> </w:t>
      </w:r>
    </w:p>
  </w:footnote>
  <w:footnote w:id="3">
    <w:p w:rsidR="00740088" w:rsidRPr="00E57BF9" w:rsidRDefault="00740088" w:rsidP="00E554EE">
      <w:pPr>
        <w:pStyle w:val="a3"/>
        <w:spacing w:before="120" w:after="120"/>
        <w:rPr>
          <w:rtl/>
        </w:rPr>
      </w:pPr>
      <w:r w:rsidRPr="00E57BF9">
        <w:rPr>
          <w:rStyle w:val="a5"/>
        </w:rPr>
        <w:footnoteRef/>
      </w:r>
      <w:r w:rsidRPr="00E57BF9">
        <w:rPr>
          <w:rFonts w:hint="cs"/>
          <w:rtl/>
        </w:rPr>
        <w:t xml:space="preserve"> אינלצ'יק, חברה וכלכלה, מאמר </w:t>
      </w:r>
      <w:r w:rsidRPr="00E57BF9">
        <w:t>IV</w:t>
      </w:r>
      <w:r w:rsidRPr="00E57BF9">
        <w:rPr>
          <w:rFonts w:hint="cs"/>
          <w:rtl/>
        </w:rPr>
        <w:t xml:space="preserve">, עמ' </w:t>
      </w:r>
      <w:r w:rsidR="00E554EE">
        <w:rPr>
          <w:rFonts w:hint="cs"/>
          <w:rtl/>
        </w:rPr>
        <w:t>80-73</w:t>
      </w:r>
      <w:r w:rsidRPr="00E57BF9">
        <w:rPr>
          <w:rFonts w:hint="cs"/>
          <w:rtl/>
        </w:rPr>
        <w:t xml:space="preserve">; קפדר, העות'מאנים, עמ' </w:t>
      </w:r>
      <w:r w:rsidR="00E554EE">
        <w:rPr>
          <w:rFonts w:hint="cs"/>
          <w:rtl/>
        </w:rPr>
        <w:t>599-598.</w:t>
      </w:r>
    </w:p>
  </w:footnote>
  <w:footnote w:id="4">
    <w:p w:rsidR="00E554EE" w:rsidRPr="00E57BF9" w:rsidRDefault="00E554EE" w:rsidP="00111084">
      <w:pPr>
        <w:pStyle w:val="a3"/>
        <w:spacing w:before="120" w:after="120"/>
        <w:rPr>
          <w:rtl/>
        </w:rPr>
      </w:pPr>
      <w:r w:rsidRPr="00E57BF9">
        <w:rPr>
          <w:rStyle w:val="a5"/>
        </w:rPr>
        <w:footnoteRef/>
      </w:r>
      <w:r w:rsidRPr="00E57BF9">
        <w:rPr>
          <w:rFonts w:hint="cs"/>
          <w:rtl/>
        </w:rPr>
        <w:t xml:space="preserve"> ראשי</w:t>
      </w:r>
      <w:r>
        <w:rPr>
          <w:rFonts w:hint="cs"/>
          <w:rtl/>
        </w:rPr>
        <w:t>ת חכמה, שער האהבה פ"ו, דף ק ע"ב</w:t>
      </w:r>
      <w:r w:rsidR="00111084">
        <w:rPr>
          <w:rFonts w:hint="cs"/>
          <w:rtl/>
        </w:rPr>
        <w:t>. וראו</w:t>
      </w:r>
      <w:r w:rsidRPr="00E57BF9">
        <w:rPr>
          <w:rFonts w:hint="cs"/>
          <w:rtl/>
        </w:rPr>
        <w:t>:</w:t>
      </w:r>
      <w:r w:rsidRPr="00E57BF9">
        <w:t>L. Fine, Phisician of the Soul Healer of the Cosmos: Isaac Luria and his Kabbalistic Fellowship, California 2003, pp. 41-77.</w:t>
      </w:r>
    </w:p>
  </w:footnote>
  <w:footnote w:id="5">
    <w:p w:rsidR="00740088" w:rsidRPr="00E57BF9" w:rsidRDefault="00740088" w:rsidP="00740088">
      <w:pPr>
        <w:pStyle w:val="a3"/>
        <w:spacing w:before="120" w:after="120"/>
        <w:rPr>
          <w:rtl/>
        </w:rPr>
      </w:pPr>
      <w:r w:rsidRPr="00E57BF9">
        <w:rPr>
          <w:rStyle w:val="a5"/>
        </w:rPr>
        <w:footnoteRef/>
      </w:r>
      <w:r w:rsidRPr="00E57BF9">
        <w:t xml:space="preserve"> </w:t>
      </w:r>
      <w:r w:rsidRPr="00E57BF9">
        <w:rPr>
          <w:rFonts w:hint="cs"/>
          <w:rtl/>
        </w:rPr>
        <w:t xml:space="preserve"> רמ"ע מפאנו, סי' לח. </w:t>
      </w:r>
    </w:p>
  </w:footnote>
  <w:footnote w:id="6">
    <w:p w:rsidR="003B386C" w:rsidRPr="00116782" w:rsidRDefault="003B386C" w:rsidP="00E554EE">
      <w:pPr>
        <w:pStyle w:val="a3"/>
        <w:spacing w:before="120" w:after="120"/>
        <w:rPr>
          <w:rtl/>
        </w:rPr>
      </w:pPr>
      <w:r w:rsidRPr="00116782">
        <w:rPr>
          <w:rStyle w:val="a5"/>
        </w:rPr>
        <w:footnoteRef/>
      </w:r>
      <w:r w:rsidR="009B6C6F">
        <w:rPr>
          <w:rtl/>
        </w:rPr>
        <w:t xml:space="preserve"> רא</w:t>
      </w:r>
      <w:r w:rsidR="009B6C6F">
        <w:rPr>
          <w:rFonts w:hint="cs"/>
          <w:rtl/>
        </w:rPr>
        <w:t>ו</w:t>
      </w:r>
      <w:r w:rsidRPr="00116782">
        <w:rPr>
          <w:rtl/>
        </w:rPr>
        <w:t>: אלבוים, השפעות</w:t>
      </w:r>
      <w:r w:rsidRPr="00116782">
        <w:rPr>
          <w:rFonts w:hint="cs"/>
          <w:rtl/>
        </w:rPr>
        <w:t xml:space="preserve">, </w:t>
      </w:r>
      <w:r w:rsidRPr="00116782">
        <w:rPr>
          <w:rtl/>
        </w:rPr>
        <w:t xml:space="preserve">עמ' </w:t>
      </w:r>
      <w:r w:rsidR="00E554EE">
        <w:rPr>
          <w:rFonts w:hint="cs"/>
          <w:rtl/>
        </w:rPr>
        <w:t>120-95.</w:t>
      </w:r>
    </w:p>
  </w:footnote>
  <w:footnote w:id="7">
    <w:p w:rsidR="003B386C" w:rsidRPr="00116782" w:rsidRDefault="003B386C" w:rsidP="00386934">
      <w:pPr>
        <w:pStyle w:val="a3"/>
        <w:spacing w:before="120" w:after="120"/>
      </w:pPr>
      <w:r w:rsidRPr="00116782">
        <w:rPr>
          <w:rStyle w:val="a5"/>
        </w:rPr>
        <w:footnoteRef/>
      </w:r>
      <w:r w:rsidRPr="00116782">
        <w:rPr>
          <w:rtl/>
        </w:rPr>
        <w:t xml:space="preserve"> </w:t>
      </w:r>
      <w:r w:rsidR="00386934">
        <w:rPr>
          <w:rFonts w:hint="cs"/>
          <w:rtl/>
        </w:rPr>
        <w:t>דודסון, דיסרטציה, עמ' 112-71.</w:t>
      </w:r>
    </w:p>
  </w:footnote>
  <w:footnote w:id="8">
    <w:p w:rsidR="003B386C" w:rsidRPr="00116782" w:rsidRDefault="003B386C" w:rsidP="00386934">
      <w:pPr>
        <w:pStyle w:val="a3"/>
        <w:spacing w:before="120" w:after="120"/>
      </w:pPr>
      <w:r w:rsidRPr="00116782">
        <w:rPr>
          <w:rStyle w:val="a5"/>
        </w:rPr>
        <w:footnoteRef/>
      </w:r>
      <w:r w:rsidRPr="00116782">
        <w:rPr>
          <w:rtl/>
        </w:rPr>
        <w:t xml:space="preserve"> </w:t>
      </w:r>
      <w:r w:rsidRPr="00116782">
        <w:rPr>
          <w:rFonts w:hint="cs"/>
          <w:rtl/>
        </w:rPr>
        <w:t xml:space="preserve">קפדר, העות'מאנים, עמ' </w:t>
      </w:r>
      <w:r w:rsidR="00386934">
        <w:rPr>
          <w:rFonts w:hint="cs"/>
          <w:rtl/>
        </w:rPr>
        <w:t>625-620;</w:t>
      </w:r>
      <w:r w:rsidRPr="00116782">
        <w:rPr>
          <w:rFonts w:hint="cs"/>
          <w:rtl/>
        </w:rPr>
        <w:t xml:space="preserve"> </w:t>
      </w:r>
      <w:r w:rsidR="009B6C6F">
        <w:rPr>
          <w:rFonts w:hint="cs"/>
          <w:rtl/>
        </w:rPr>
        <w:t xml:space="preserve">י' </w:t>
      </w:r>
      <w:r>
        <w:rPr>
          <w:rFonts w:hint="cs"/>
          <w:rtl/>
        </w:rPr>
        <w:t xml:space="preserve">בן נאה, </w:t>
      </w:r>
      <w:r w:rsidR="00386934" w:rsidRPr="0076306D">
        <w:rPr>
          <w:rFonts w:hint="cs"/>
          <w:rtl/>
        </w:rPr>
        <w:t>"עיר התורה והלימוד: סלוניקי כמרכז תורה במאות הט</w:t>
      </w:r>
      <w:r w:rsidR="00386934">
        <w:rPr>
          <w:rFonts w:hint="cs"/>
          <w:rtl/>
        </w:rPr>
        <w:t xml:space="preserve">"ז-י"ז", פעמים, 80 (תשנ"ט), </w:t>
      </w:r>
      <w:r w:rsidRPr="00116782">
        <w:rPr>
          <w:rFonts w:hint="cs"/>
          <w:rtl/>
        </w:rPr>
        <w:t>עמ' 62; 69.</w:t>
      </w:r>
    </w:p>
  </w:footnote>
  <w:footnote w:id="9">
    <w:p w:rsidR="003B386C" w:rsidRPr="00116782" w:rsidRDefault="003B386C" w:rsidP="009B6C6F">
      <w:pPr>
        <w:pStyle w:val="a3"/>
        <w:spacing w:before="120" w:after="120"/>
      </w:pPr>
      <w:r w:rsidRPr="00116782">
        <w:rPr>
          <w:rStyle w:val="a5"/>
        </w:rPr>
        <w:footnoteRef/>
      </w:r>
      <w:r w:rsidRPr="00116782">
        <w:rPr>
          <w:rtl/>
        </w:rPr>
        <w:t xml:space="preserve"> </w:t>
      </w:r>
      <w:r w:rsidR="009B6C6F">
        <w:rPr>
          <w:rFonts w:hint="cs"/>
          <w:rtl/>
        </w:rPr>
        <w:t>ראו</w:t>
      </w:r>
      <w:r>
        <w:rPr>
          <w:rFonts w:hint="cs"/>
          <w:rtl/>
        </w:rPr>
        <w:t xml:space="preserve">: </w:t>
      </w:r>
      <w:r w:rsidRPr="00116782">
        <w:rPr>
          <w:rtl/>
        </w:rPr>
        <w:t xml:space="preserve">אידל, יחידים וקבוצות, עמ' </w:t>
      </w:r>
      <w:r w:rsidR="009B6C6F">
        <w:rPr>
          <w:rFonts w:hint="cs"/>
          <w:rtl/>
        </w:rPr>
        <w:t>158-145.</w:t>
      </w:r>
    </w:p>
  </w:footnote>
  <w:footnote w:id="10">
    <w:p w:rsidR="003B386C" w:rsidRPr="00116782" w:rsidRDefault="003B386C" w:rsidP="00AE4CD8">
      <w:pPr>
        <w:pStyle w:val="a3"/>
        <w:spacing w:before="120" w:after="120"/>
      </w:pPr>
      <w:r w:rsidRPr="00116782">
        <w:rPr>
          <w:rStyle w:val="a5"/>
        </w:rPr>
        <w:footnoteRef/>
      </w:r>
      <w:r w:rsidRPr="00116782">
        <w:rPr>
          <w:rtl/>
        </w:rPr>
        <w:t xml:space="preserve"> </w:t>
      </w:r>
      <w:r w:rsidRPr="00116782">
        <w:rPr>
          <w:rFonts w:hint="cs"/>
          <w:rtl/>
        </w:rPr>
        <w:t xml:space="preserve">למשל: </w:t>
      </w:r>
      <w:r w:rsidR="00AE4CD8">
        <w:rPr>
          <w:rFonts w:hint="cs"/>
          <w:rtl/>
        </w:rPr>
        <w:t xml:space="preserve">ר' </w:t>
      </w:r>
      <w:r w:rsidRPr="00116782">
        <w:rPr>
          <w:rFonts w:hint="cs"/>
          <w:rtl/>
        </w:rPr>
        <w:t xml:space="preserve">בונפיל, </w:t>
      </w:r>
      <w:r w:rsidR="009B6C6F" w:rsidRPr="0076306D">
        <w:rPr>
          <w:rFonts w:hint="cs"/>
          <w:rtl/>
        </w:rPr>
        <w:t>הרבנות באיטליה בתקופת הריניסאנס, ירושלים תשל"ט</w:t>
      </w:r>
      <w:r w:rsidR="00AE4CD8">
        <w:rPr>
          <w:rFonts w:hint="cs"/>
          <w:rtl/>
        </w:rPr>
        <w:t>,</w:t>
      </w:r>
      <w:r w:rsidR="009B6C6F" w:rsidRPr="00116782">
        <w:rPr>
          <w:rFonts w:hint="cs"/>
          <w:rtl/>
        </w:rPr>
        <w:t xml:space="preserve"> </w:t>
      </w:r>
      <w:r w:rsidRPr="00116782">
        <w:rPr>
          <w:rFonts w:hint="cs"/>
          <w:rtl/>
        </w:rPr>
        <w:t xml:space="preserve">עמ' </w:t>
      </w:r>
      <w:r w:rsidR="009B6C6F">
        <w:rPr>
          <w:rFonts w:hint="cs"/>
          <w:rtl/>
        </w:rPr>
        <w:t>72-71.</w:t>
      </w:r>
      <w:r>
        <w:rPr>
          <w:rFonts w:hint="cs"/>
          <w:rtl/>
        </w:rPr>
        <w:t xml:space="preserve"> </w:t>
      </w:r>
    </w:p>
  </w:footnote>
  <w:footnote w:id="11">
    <w:p w:rsidR="003B386C" w:rsidRPr="00116782" w:rsidRDefault="003B386C" w:rsidP="00AE4CD8">
      <w:pPr>
        <w:pStyle w:val="a3"/>
        <w:spacing w:before="120" w:after="120"/>
      </w:pPr>
      <w:r w:rsidRPr="00116782">
        <w:rPr>
          <w:rStyle w:val="a5"/>
        </w:rPr>
        <w:footnoteRef/>
      </w:r>
      <w:r w:rsidRPr="00116782">
        <w:rPr>
          <w:rtl/>
        </w:rPr>
        <w:t xml:space="preserve"> </w:t>
      </w:r>
      <w:r w:rsidRPr="00116782">
        <w:rPr>
          <w:rFonts w:hint="cs"/>
          <w:rtl/>
        </w:rPr>
        <w:t>"ויום</w:t>
      </w:r>
      <w:r>
        <w:rPr>
          <w:rFonts w:hint="cs"/>
          <w:rtl/>
        </w:rPr>
        <w:t xml:space="preserve"> אחד ב</w:t>
      </w:r>
      <w:r w:rsidRPr="00116782">
        <w:rPr>
          <w:rFonts w:hint="cs"/>
          <w:rtl/>
        </w:rPr>
        <w:t xml:space="preserve">ערב שבת יצא עם החברים לקבל שבת כמנהגו" (סמברי, </w:t>
      </w:r>
      <w:r>
        <w:rPr>
          <w:rFonts w:hint="cs"/>
          <w:rtl/>
        </w:rPr>
        <w:t xml:space="preserve">תולדות האר"י, </w:t>
      </w:r>
      <w:r w:rsidRPr="00116782">
        <w:rPr>
          <w:rFonts w:hint="cs"/>
          <w:rtl/>
        </w:rPr>
        <w:t xml:space="preserve">עמ' 338). </w:t>
      </w:r>
      <w:r w:rsidR="00AE4CD8">
        <w:rPr>
          <w:rFonts w:hint="cs"/>
          <w:rtl/>
        </w:rPr>
        <w:t>וראו</w:t>
      </w:r>
      <w:r w:rsidRPr="00116782">
        <w:rPr>
          <w:rFonts w:hint="cs"/>
          <w:rtl/>
        </w:rPr>
        <w:t xml:space="preserve">: </w:t>
      </w:r>
      <w:r w:rsidR="00AE4CD8" w:rsidRPr="0076306D">
        <w:rPr>
          <w:rFonts w:hint="cs"/>
          <w:rtl/>
        </w:rPr>
        <w:t>ר' קימלמן, לכה דודי וקבלת שבת: המשמעות המיסטית, ירושלים תשס"ג</w:t>
      </w:r>
      <w:r w:rsidR="00AE4CD8">
        <w:rPr>
          <w:rFonts w:hint="cs"/>
          <w:rtl/>
        </w:rPr>
        <w:t xml:space="preserve">, </w:t>
      </w:r>
      <w:r w:rsidRPr="00116782">
        <w:rPr>
          <w:rFonts w:hint="cs"/>
          <w:rtl/>
        </w:rPr>
        <w:t xml:space="preserve">עמ' </w:t>
      </w:r>
      <w:r w:rsidR="00AE4CD8">
        <w:rPr>
          <w:rFonts w:hint="cs"/>
          <w:rtl/>
        </w:rPr>
        <w:t>32-9.</w:t>
      </w:r>
    </w:p>
  </w:footnote>
  <w:footnote w:id="12">
    <w:p w:rsidR="003B386C" w:rsidRPr="00116782" w:rsidRDefault="003B386C" w:rsidP="003B386C">
      <w:pPr>
        <w:spacing w:before="120" w:after="120"/>
        <w:rPr>
          <w:sz w:val="20"/>
          <w:szCs w:val="20"/>
        </w:rPr>
      </w:pPr>
      <w:r w:rsidRPr="00116782">
        <w:rPr>
          <w:rStyle w:val="a5"/>
          <w:sz w:val="20"/>
          <w:szCs w:val="20"/>
        </w:rPr>
        <w:footnoteRef/>
      </w:r>
      <w:r w:rsidRPr="00116782">
        <w:rPr>
          <w:sz w:val="20"/>
          <w:szCs w:val="20"/>
          <w:rtl/>
        </w:rPr>
        <w:t xml:space="preserve"> </w:t>
      </w:r>
      <w:r w:rsidRPr="00116782">
        <w:rPr>
          <w:rFonts w:hint="cs"/>
          <w:sz w:val="20"/>
          <w:szCs w:val="20"/>
          <w:rtl/>
        </w:rPr>
        <w:t>המבי"ט התעמת עם ר' ישראל די קוריאל בעניין מנהג ההאזנה לברכות לשם עניית אמן, וטען שהוא מחדש מנהגים שלא נודעו בעבר (</w:t>
      </w:r>
      <w:r w:rsidRPr="00116782">
        <w:rPr>
          <w:sz w:val="20"/>
          <w:szCs w:val="20"/>
          <w:rtl/>
        </w:rPr>
        <w:t>מבי"ט, ח"א סי' קיז; קפ</w:t>
      </w:r>
      <w:r w:rsidRPr="00116782">
        <w:rPr>
          <w:rFonts w:hint="cs"/>
          <w:sz w:val="20"/>
          <w:szCs w:val="20"/>
          <w:rtl/>
        </w:rPr>
        <w:t>)</w:t>
      </w:r>
      <w:r w:rsidRPr="00116782">
        <w:rPr>
          <w:sz w:val="20"/>
          <w:szCs w:val="20"/>
          <w:rtl/>
        </w:rPr>
        <w:t>.</w:t>
      </w:r>
    </w:p>
  </w:footnote>
  <w:footnote w:id="13">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"על הפרש שנפל בין חכמי צפת על ענין כלאי  הכר'[ם], כי המנהג שם לאכול הירקות הנמכרות בשוק, ואינ'</w:t>
      </w:r>
      <w:r w:rsidR="00AE4CD8">
        <w:rPr>
          <w:rFonts w:hint="cs"/>
          <w:rtl/>
        </w:rPr>
        <w:t>[ם]</w:t>
      </w:r>
      <w:r w:rsidRPr="00116782">
        <w:rPr>
          <w:rFonts w:hint="cs"/>
          <w:rtl/>
        </w:rPr>
        <w:t xml:space="preserve"> מדקדקין לדרוש ולחקור אם הם ממקום שנזרע תחת הכרם או בכרם עצמו, ויש חכמים אנשי מעשה עתה מחדש מחמירי'</w:t>
      </w:r>
      <w:r w:rsidR="00AE4CD8">
        <w:rPr>
          <w:rFonts w:hint="cs"/>
          <w:rtl/>
        </w:rPr>
        <w:t>[ם]</w:t>
      </w:r>
      <w:r w:rsidRPr="00116782">
        <w:rPr>
          <w:rFonts w:hint="cs"/>
          <w:rtl/>
        </w:rPr>
        <w:t xml:space="preserve"> על עצמ'</w:t>
      </w:r>
      <w:r w:rsidR="00AE4CD8">
        <w:rPr>
          <w:rFonts w:hint="cs"/>
          <w:rtl/>
        </w:rPr>
        <w:t>[ם]</w:t>
      </w:r>
      <w:r w:rsidRPr="00116782">
        <w:rPr>
          <w:rFonts w:hint="cs"/>
          <w:rtl/>
        </w:rPr>
        <w:t xml:space="preserve"> ואינם קונים ירק אלא אחר החקירה הנז'</w:t>
      </w:r>
      <w:r w:rsidR="00AE4CD8">
        <w:rPr>
          <w:rFonts w:hint="cs"/>
          <w:rtl/>
        </w:rPr>
        <w:t>[כרת]</w:t>
      </w:r>
      <w:r w:rsidRPr="00116782">
        <w:rPr>
          <w:rFonts w:hint="cs"/>
          <w:rtl/>
        </w:rPr>
        <w:t>, וחכמי העיר היושבים שם ראשונה מוחים בידם, באומרם שמוציאים לעז על הראשונים, ועוד שבאים לידי מחלוק'</w:t>
      </w:r>
      <w:r w:rsidR="00AE4CD8">
        <w:rPr>
          <w:rFonts w:hint="cs"/>
          <w:rtl/>
        </w:rPr>
        <w:t>[ת]</w:t>
      </w:r>
      <w:r w:rsidRPr="00116782">
        <w:rPr>
          <w:rFonts w:hint="cs"/>
          <w:rtl/>
        </w:rPr>
        <w:t xml:space="preserve"> [...] ועוד דברים אחרים נמשכו ביניהם לענין תרומו'</w:t>
      </w:r>
      <w:r w:rsidR="00AE4CD8">
        <w:rPr>
          <w:rFonts w:hint="cs"/>
          <w:rtl/>
        </w:rPr>
        <w:t>[ת]</w:t>
      </w:r>
      <w:r w:rsidRPr="00116782">
        <w:rPr>
          <w:rFonts w:hint="cs"/>
          <w:rtl/>
        </w:rPr>
        <w:t xml:space="preserve"> ומעשרות וענין שנת השמיטה" (מהרשד"ם, יו"ד סי' קצג).</w:t>
      </w:r>
    </w:p>
  </w:footnote>
  <w:footnote w:id="14">
    <w:p w:rsidR="003B386C" w:rsidRPr="00116782" w:rsidRDefault="003B386C" w:rsidP="00506D68">
      <w:pPr>
        <w:pStyle w:val="a3"/>
        <w:spacing w:before="120" w:after="120"/>
      </w:pPr>
      <w:r w:rsidRPr="00116782">
        <w:rPr>
          <w:rStyle w:val="a5"/>
        </w:rPr>
        <w:footnoteRef/>
      </w:r>
      <w:r w:rsidRPr="00116782">
        <w:rPr>
          <w:rtl/>
        </w:rPr>
        <w:t xml:space="preserve"> </w:t>
      </w:r>
      <w:r w:rsidRPr="00116782">
        <w:rPr>
          <w:rFonts w:hint="cs"/>
          <w:rtl/>
        </w:rPr>
        <w:t>"לא תעשו אגודות אגו</w:t>
      </w:r>
      <w:r w:rsidR="00506D68">
        <w:rPr>
          <w:rFonts w:hint="cs"/>
          <w:rtl/>
        </w:rPr>
        <w:t>דות" (רדב"ז, ח"ה סי' יא). והשוו</w:t>
      </w:r>
      <w:r w:rsidRPr="00116782">
        <w:rPr>
          <w:rFonts w:hint="cs"/>
          <w:rtl/>
        </w:rPr>
        <w:t>: שם, ח"ג סי' תעד; תקלב; ח"ד סי' אלף עט</w:t>
      </w:r>
      <w:r w:rsidRPr="00766594">
        <w:rPr>
          <w:rFonts w:hint="cs"/>
          <w:rtl/>
        </w:rPr>
        <w:t>; אלף קסה; ח"ח, סי' קמא. ורא</w:t>
      </w:r>
      <w:r w:rsidR="00506D68">
        <w:rPr>
          <w:rFonts w:hint="cs"/>
          <w:rtl/>
        </w:rPr>
        <w:t>ו</w:t>
      </w:r>
      <w:r w:rsidRPr="00766594">
        <w:rPr>
          <w:rFonts w:hint="cs"/>
          <w:rtl/>
        </w:rPr>
        <w:t xml:space="preserve">: גילת, לא תתגודדו, עמ' </w:t>
      </w:r>
      <w:r w:rsidR="00506D68">
        <w:rPr>
          <w:rFonts w:hint="cs"/>
          <w:rtl/>
        </w:rPr>
        <w:t xml:space="preserve">93-92; מ' ליטמן, </w:t>
      </w:r>
      <w:r w:rsidR="00506D68" w:rsidRPr="0076306D">
        <w:rPr>
          <w:rFonts w:hint="cs"/>
          <w:rtl/>
        </w:rPr>
        <w:t xml:space="preserve">"יחסו של הרדב"ז לבעיות חברתיות", טללי אורות, א (תשמ"ט), עמ' </w:t>
      </w:r>
      <w:r w:rsidR="00506D68">
        <w:rPr>
          <w:rFonts w:hint="cs"/>
          <w:rtl/>
        </w:rPr>
        <w:t>157-156.</w:t>
      </w:r>
      <w:r w:rsidRPr="00766594">
        <w:rPr>
          <w:rFonts w:hint="cs"/>
          <w:rtl/>
        </w:rPr>
        <w:t xml:space="preserve"> </w:t>
      </w:r>
    </w:p>
  </w:footnote>
  <w:footnote w:id="15">
    <w:p w:rsidR="00292860" w:rsidRDefault="00292860">
      <w:pPr>
        <w:pStyle w:val="a3"/>
        <w:rPr>
          <w:rFonts w:hint="cs"/>
          <w:rtl/>
        </w:rPr>
      </w:pPr>
      <w:r>
        <w:rPr>
          <w:rStyle w:val="a5"/>
        </w:rPr>
        <w:footnoteRef/>
      </w:r>
      <w:r>
        <w:rPr>
          <w:rtl/>
        </w:rPr>
        <w:t xml:space="preserve"> </w:t>
      </w:r>
      <w:r>
        <w:rPr>
          <w:rFonts w:hint="cs"/>
          <w:rtl/>
        </w:rPr>
        <w:t>ארד, דיסרטציה.</w:t>
      </w:r>
    </w:p>
  </w:footnote>
  <w:footnote w:id="16">
    <w:p w:rsidR="00292860" w:rsidRPr="00C965EC" w:rsidRDefault="00292860" w:rsidP="00292860">
      <w:pPr>
        <w:pStyle w:val="a3"/>
        <w:spacing w:before="120" w:after="120"/>
        <w:rPr>
          <w:rFonts w:hint="cs"/>
          <w:rtl/>
        </w:rPr>
      </w:pPr>
      <w:r w:rsidRPr="00C965EC">
        <w:rPr>
          <w:rStyle w:val="a5"/>
        </w:rPr>
        <w:footnoteRef/>
      </w:r>
      <w:r w:rsidRPr="00C965EC">
        <w:rPr>
          <w:rtl/>
        </w:rPr>
        <w:t xml:space="preserve"> </w:t>
      </w:r>
      <w:r w:rsidR="00EA63C1">
        <w:rPr>
          <w:rFonts w:hint="cs"/>
          <w:rtl/>
        </w:rPr>
        <w:t>ראו</w:t>
      </w:r>
      <w:r>
        <w:rPr>
          <w:rFonts w:hint="cs"/>
          <w:rtl/>
        </w:rPr>
        <w:t>: הקר, המוסתערבים, עמ' 89 הערה 1; ארד, ציאח, עמ' 143 הערה 42; ארד, הקדש, עמ' 25 הערה 1.</w:t>
      </w:r>
    </w:p>
  </w:footnote>
  <w:footnote w:id="17">
    <w:p w:rsidR="00292860" w:rsidRPr="00C965EC" w:rsidRDefault="00292860" w:rsidP="00EA63C1">
      <w:pPr>
        <w:pStyle w:val="a3"/>
        <w:spacing w:before="120" w:after="120"/>
        <w:rPr>
          <w:rFonts w:hint="cs"/>
        </w:rPr>
      </w:pPr>
      <w:r w:rsidRPr="00C965EC">
        <w:rPr>
          <w:rStyle w:val="a5"/>
        </w:rPr>
        <w:footnoteRef/>
      </w:r>
      <w:r w:rsidRPr="00C965EC">
        <w:rPr>
          <w:rtl/>
        </w:rPr>
        <w:t xml:space="preserve"> </w:t>
      </w:r>
      <w:r w:rsidRPr="00C965EC">
        <w:rPr>
          <w:rFonts w:hint="cs"/>
          <w:rtl/>
        </w:rPr>
        <w:t>מכתב ר' רפאל טרבוט מירושלים, בתוך: א' נאיבואיר, "קבוצים על עניני עשרת השבטים ובני משה</w:t>
      </w:r>
      <w:r w:rsidR="00EA63C1">
        <w:rPr>
          <w:rFonts w:hint="cs"/>
          <w:rtl/>
        </w:rPr>
        <w:t>", קבץ על יד, ד (תרמ"ח), עמ' 32. וראו</w:t>
      </w:r>
      <w:r w:rsidRPr="00C965EC">
        <w:rPr>
          <w:rFonts w:hint="cs"/>
          <w:rtl/>
        </w:rPr>
        <w:t xml:space="preserve">: </w:t>
      </w:r>
      <w:r w:rsidR="00EA63C1">
        <w:rPr>
          <w:rFonts w:hint="cs"/>
          <w:rtl/>
        </w:rPr>
        <w:t>א</w:t>
      </w:r>
      <w:r w:rsidR="00EA63C1" w:rsidRPr="0076306D">
        <w:rPr>
          <w:rFonts w:hint="cs"/>
          <w:rtl/>
        </w:rPr>
        <w:t>"ל פרומקין, תולדות חכמי י</w:t>
      </w:r>
      <w:r w:rsidR="00EA63C1">
        <w:rPr>
          <w:rFonts w:hint="cs"/>
          <w:rtl/>
        </w:rPr>
        <w:t>רושלים (מהדורת א' רבלין), א, ירושלים תרפ"ח</w:t>
      </w:r>
      <w:r w:rsidRPr="00C965EC">
        <w:rPr>
          <w:rFonts w:hint="cs"/>
          <w:rtl/>
        </w:rPr>
        <w:t>, עמ' 23</w:t>
      </w:r>
      <w:r w:rsidR="0057553B">
        <w:rPr>
          <w:rFonts w:hint="cs"/>
          <w:rtl/>
        </w:rPr>
        <w:t xml:space="preserve"> והערה 1</w:t>
      </w:r>
      <w:r w:rsidRPr="00C965EC">
        <w:rPr>
          <w:rFonts w:hint="cs"/>
          <w:rtl/>
        </w:rPr>
        <w:t>.</w:t>
      </w:r>
    </w:p>
  </w:footnote>
  <w:footnote w:id="18">
    <w:p w:rsidR="00292860" w:rsidRPr="00C965EC" w:rsidRDefault="00292860" w:rsidP="00EA63C1">
      <w:pPr>
        <w:pStyle w:val="a3"/>
        <w:spacing w:before="120" w:after="120"/>
        <w:rPr>
          <w:rFonts w:hint="cs"/>
          <w:rtl/>
        </w:rPr>
      </w:pPr>
      <w:r w:rsidRPr="00C965EC">
        <w:rPr>
          <w:rStyle w:val="a5"/>
        </w:rPr>
        <w:footnoteRef/>
      </w:r>
      <w:r w:rsidRPr="00C965EC">
        <w:rPr>
          <w:rtl/>
        </w:rPr>
        <w:t xml:space="preserve"> </w:t>
      </w:r>
      <w:r w:rsidRPr="00C965EC">
        <w:rPr>
          <w:rFonts w:hint="cs"/>
          <w:rtl/>
        </w:rPr>
        <w:t>מבי"ט, ח"א סי' כא</w:t>
      </w:r>
      <w:r w:rsidR="00EA63C1">
        <w:rPr>
          <w:rFonts w:hint="cs"/>
          <w:rtl/>
        </w:rPr>
        <w:t>.</w:t>
      </w:r>
      <w:r w:rsidRPr="00C965EC">
        <w:rPr>
          <w:rFonts w:hint="cs"/>
          <w:rtl/>
        </w:rPr>
        <w:t xml:space="preserve"> </w:t>
      </w:r>
    </w:p>
  </w:footnote>
  <w:footnote w:id="19">
    <w:p w:rsidR="00E4496D" w:rsidRDefault="00E4496D">
      <w:pPr>
        <w:pStyle w:val="a3"/>
        <w:rPr>
          <w:rFonts w:hint="cs"/>
          <w:rtl/>
        </w:rPr>
      </w:pPr>
      <w:r>
        <w:rPr>
          <w:rStyle w:val="a5"/>
        </w:rPr>
        <w:footnoteRef/>
      </w:r>
      <w:r>
        <w:rPr>
          <w:rtl/>
        </w:rPr>
        <w:t xml:space="preserve"> </w:t>
      </w:r>
      <w:r>
        <w:rPr>
          <w:rFonts w:hint="cs"/>
          <w:rtl/>
        </w:rPr>
        <w:t>ראו: דותן, דיסרטציה, עמ' 24-19.</w:t>
      </w:r>
    </w:p>
  </w:footnote>
  <w:footnote w:id="20">
    <w:p w:rsidR="00586ECB" w:rsidRPr="00116782" w:rsidRDefault="00586ECB" w:rsidP="00586ECB">
      <w:pPr>
        <w:pStyle w:val="a3"/>
        <w:spacing w:before="120" w:after="120"/>
      </w:pPr>
      <w:r w:rsidRPr="00766594">
        <w:rPr>
          <w:rStyle w:val="a5"/>
        </w:rPr>
        <w:footnoteRef/>
      </w:r>
      <w:r w:rsidRPr="00766594">
        <w:rPr>
          <w:rtl/>
        </w:rPr>
        <w:t xml:space="preserve"> </w:t>
      </w:r>
      <w:r w:rsidRPr="00766594">
        <w:rPr>
          <w:rFonts w:hint="cs"/>
          <w:rtl/>
        </w:rPr>
        <w:t>למשל, ביחס</w:t>
      </w:r>
      <w:r w:rsidRPr="00116782">
        <w:rPr>
          <w:rFonts w:hint="cs"/>
          <w:rtl/>
        </w:rPr>
        <w:t xml:space="preserve"> למנהג קריאת מגילת אסתר בפורים (</w:t>
      </w:r>
      <w:r w:rsidRPr="00116782">
        <w:rPr>
          <w:rtl/>
        </w:rPr>
        <w:t>עיבור שנים, דף כג ע"א</w:t>
      </w:r>
      <w:r w:rsidRPr="00116782">
        <w:rPr>
          <w:rFonts w:hint="cs"/>
          <w:rtl/>
        </w:rPr>
        <w:t xml:space="preserve">. </w:t>
      </w:r>
      <w:r>
        <w:rPr>
          <w:rtl/>
        </w:rPr>
        <w:t>ורא</w:t>
      </w:r>
      <w:r>
        <w:rPr>
          <w:rFonts w:hint="cs"/>
          <w:rtl/>
        </w:rPr>
        <w:t>ו</w:t>
      </w:r>
      <w:r w:rsidRPr="00116782">
        <w:rPr>
          <w:rtl/>
        </w:rPr>
        <w:t>: גליס, מנהגי א"י, עמ' רו-רז</w:t>
      </w:r>
      <w:r w:rsidRPr="00116782">
        <w:rPr>
          <w:rFonts w:hint="cs"/>
          <w:rtl/>
        </w:rPr>
        <w:t>), למנהג יום טוב אחד (עיבור שנים, דף לג ע"א), לחלוקת פרשיות השבוע (שם, דף לג ע"א-ע"ב)</w:t>
      </w:r>
      <w:r>
        <w:rPr>
          <w:rFonts w:hint="cs"/>
          <w:rtl/>
        </w:rPr>
        <w:t>, לסדר הפעולות בברית מילה (</w:t>
      </w:r>
      <w:r w:rsidRPr="0076306D">
        <w:rPr>
          <w:rtl/>
        </w:rPr>
        <w:t>י' בוקסבוים, "שו"ת בין רבינו ישראל נג'ארה והמהריט"ץ בהל</w:t>
      </w:r>
      <w:r>
        <w:rPr>
          <w:rtl/>
        </w:rPr>
        <w:t xml:space="preserve">כות פדיון הבן", מוריה, ח, ו-ז, </w:t>
      </w:r>
      <w:r>
        <w:rPr>
          <w:rFonts w:hint="cs"/>
          <w:rtl/>
        </w:rPr>
        <w:t>[</w:t>
      </w:r>
      <w:r>
        <w:rPr>
          <w:rtl/>
        </w:rPr>
        <w:t>תשל"ט</w:t>
      </w:r>
      <w:r>
        <w:rPr>
          <w:rFonts w:hint="cs"/>
          <w:rtl/>
        </w:rPr>
        <w:t>]</w:t>
      </w:r>
      <w:r w:rsidRPr="0076306D">
        <w:rPr>
          <w:rtl/>
        </w:rPr>
        <w:t xml:space="preserve">, </w:t>
      </w:r>
      <w:r>
        <w:rPr>
          <w:rFonts w:hint="cs"/>
          <w:rtl/>
        </w:rPr>
        <w:t>עמ' יא)</w:t>
      </w:r>
      <w:r w:rsidRPr="00116782">
        <w:rPr>
          <w:rFonts w:hint="cs"/>
          <w:rtl/>
        </w:rPr>
        <w:t xml:space="preserve"> ועוד. אף היה בידם ספר, ובו תועדו מנהגיהם, כפי ש</w:t>
      </w:r>
      <w:r w:rsidRPr="00116782">
        <w:rPr>
          <w:rtl/>
        </w:rPr>
        <w:t>העיד ר</w:t>
      </w:r>
      <w:r w:rsidRPr="00116782">
        <w:rPr>
          <w:rFonts w:hint="cs"/>
          <w:rtl/>
        </w:rPr>
        <w:t>' יששכר</w:t>
      </w:r>
      <w:r w:rsidRPr="00116782">
        <w:rPr>
          <w:rtl/>
        </w:rPr>
        <w:t xml:space="preserve"> ן' סוסאן: "מצאתי כתוב במנהגות המוסתערבים יצו, תושבי צפ"ת שבגליל העליון תוב"ב" (</w:t>
      </w:r>
      <w:r w:rsidRPr="00116782">
        <w:rPr>
          <w:rFonts w:hint="cs"/>
          <w:rtl/>
        </w:rPr>
        <w:t>עיבור שנים</w:t>
      </w:r>
      <w:r>
        <w:rPr>
          <w:rtl/>
        </w:rPr>
        <w:t>, דף לב ע"א). והשוו</w:t>
      </w:r>
      <w:r w:rsidRPr="00116782">
        <w:rPr>
          <w:rtl/>
        </w:rPr>
        <w:t>: שם, דף לח ע"א; נא ע"ב; פז ע"א.</w:t>
      </w:r>
    </w:p>
  </w:footnote>
  <w:footnote w:id="21">
    <w:p w:rsidR="00586ECB" w:rsidRPr="00116782" w:rsidRDefault="00586ECB" w:rsidP="00586ECB">
      <w:pPr>
        <w:pStyle w:val="a3"/>
        <w:spacing w:before="120" w:after="120"/>
        <w:rPr>
          <w:rtl/>
        </w:rPr>
      </w:pPr>
      <w:r w:rsidRPr="00116782">
        <w:rPr>
          <w:rStyle w:val="a5"/>
        </w:rPr>
        <w:footnoteRef/>
      </w:r>
      <w:r w:rsidRPr="00116782">
        <w:rPr>
          <w:rtl/>
        </w:rPr>
        <w:t xml:space="preserve"> י' בן צבי ט</w:t>
      </w:r>
      <w:r w:rsidRPr="00116782">
        <w:rPr>
          <w:rFonts w:hint="cs"/>
          <w:rtl/>
        </w:rPr>
        <w:t>ו</w:t>
      </w:r>
      <w:r w:rsidRPr="00116782">
        <w:rPr>
          <w:rtl/>
        </w:rPr>
        <w:t>ען, שהמוס</w:t>
      </w:r>
      <w:r w:rsidRPr="00116782">
        <w:rPr>
          <w:rFonts w:hint="cs"/>
          <w:rtl/>
        </w:rPr>
        <w:t>ת</w:t>
      </w:r>
      <w:r w:rsidRPr="00116782">
        <w:rPr>
          <w:rtl/>
        </w:rPr>
        <w:t xml:space="preserve">ערבים מייצגים את תושבי הארץ היהודים מאז ימי הבית השני (י' בן צבי, מחקרים ומקורות, ירושלים תשכ"ו, עמ' </w:t>
      </w:r>
      <w:r>
        <w:rPr>
          <w:rFonts w:hint="cs"/>
          <w:rtl/>
        </w:rPr>
        <w:t>20-15</w:t>
      </w:r>
      <w:r w:rsidRPr="00116782">
        <w:rPr>
          <w:rtl/>
        </w:rPr>
        <w:t xml:space="preserve">), </w:t>
      </w:r>
      <w:r w:rsidRPr="00116782">
        <w:rPr>
          <w:rFonts w:hint="cs"/>
          <w:rtl/>
        </w:rPr>
        <w:t xml:space="preserve">אך טענתו אינה עומדת במבחן הביקורת. </w:t>
      </w:r>
      <w:r w:rsidRPr="00116782">
        <w:rPr>
          <w:rtl/>
        </w:rPr>
        <w:t>מ' רוזן ט</w:t>
      </w:r>
      <w:r w:rsidRPr="00116782">
        <w:rPr>
          <w:rFonts w:hint="cs"/>
          <w:rtl/>
        </w:rPr>
        <w:t>ו</w:t>
      </w:r>
      <w:r w:rsidRPr="00116782">
        <w:rPr>
          <w:rtl/>
        </w:rPr>
        <w:t>ענ</w:t>
      </w:r>
      <w:r w:rsidRPr="00116782">
        <w:rPr>
          <w:rFonts w:hint="cs"/>
          <w:rtl/>
        </w:rPr>
        <w:t>ת לעומתו</w:t>
      </w:r>
      <w:r w:rsidRPr="00116782">
        <w:rPr>
          <w:rtl/>
        </w:rPr>
        <w:t xml:space="preserve"> שקדמותם אינה קודמת בהכרח למאה הט"ו, ואפשר שאלו צאצאי המהגרים מאשכנז ומספרד במהלך ימי הביניים, שלא הגיעו רק לארץ ישראל (רוזן, המוסתערבים, עמ' 73).</w:t>
      </w:r>
    </w:p>
  </w:footnote>
  <w:footnote w:id="22">
    <w:p w:rsidR="00586ECB" w:rsidRPr="00116782" w:rsidRDefault="00586ECB" w:rsidP="00586ECB">
      <w:pPr>
        <w:pStyle w:val="a3"/>
        <w:spacing w:before="120" w:after="120"/>
        <w:rPr>
          <w:rtl/>
        </w:rPr>
      </w:pPr>
      <w:r w:rsidRPr="00116782">
        <w:rPr>
          <w:rStyle w:val="a5"/>
        </w:rPr>
        <w:footnoteRef/>
      </w:r>
      <w:r w:rsidRPr="00116782">
        <w:rPr>
          <w:rtl/>
        </w:rPr>
        <w:t xml:space="preserve"> </w:t>
      </w:r>
      <w:r>
        <w:rPr>
          <w:rFonts w:hint="cs"/>
          <w:rtl/>
        </w:rPr>
        <w:t>עיבור שנים, דף לג ע"ב. והשוו</w:t>
      </w:r>
      <w:r w:rsidRPr="00116782">
        <w:rPr>
          <w:rFonts w:hint="cs"/>
          <w:rtl/>
        </w:rPr>
        <w:t xml:space="preserve"> דברי ר' יעקב בירב בפנייתו אל דיין המוסתערבים: "איך הוא מנהגכם אתם, שאתם קדמונים בארץ, בנים ואבות מעולם, ושנים קדמוניות" (שם</w:t>
      </w:r>
      <w:r w:rsidRPr="00116782">
        <w:rPr>
          <w:rtl/>
        </w:rPr>
        <w:t>, דף סט ע"א</w:t>
      </w:r>
      <w:r w:rsidRPr="00116782">
        <w:rPr>
          <w:rFonts w:hint="cs"/>
          <w:rtl/>
        </w:rPr>
        <w:t>).</w:t>
      </w:r>
    </w:p>
  </w:footnote>
  <w:footnote w:id="23">
    <w:p w:rsidR="00586ECB" w:rsidRPr="00116782" w:rsidRDefault="00586ECB" w:rsidP="00586ECB">
      <w:pPr>
        <w:pStyle w:val="a3"/>
        <w:spacing w:before="120" w:after="120"/>
        <w:rPr>
          <w:rtl/>
        </w:rPr>
      </w:pPr>
      <w:r w:rsidRPr="00116782">
        <w:rPr>
          <w:rStyle w:val="a5"/>
        </w:rPr>
        <w:footnoteRef/>
      </w:r>
      <w:r w:rsidRPr="00116782">
        <w:rPr>
          <w:rtl/>
        </w:rPr>
        <w:t xml:space="preserve"> </w:t>
      </w:r>
      <w:r w:rsidRPr="00116782">
        <w:rPr>
          <w:rFonts w:hint="cs"/>
          <w:rtl/>
        </w:rPr>
        <w:t>שם</w:t>
      </w:r>
      <w:r>
        <w:rPr>
          <w:rtl/>
        </w:rPr>
        <w:t>, דף לב ע"ב. והשוו</w:t>
      </w:r>
      <w:r w:rsidRPr="00116782">
        <w:rPr>
          <w:rtl/>
        </w:rPr>
        <w:t>: שם, דף ד ע"א; נו ע"א.</w:t>
      </w:r>
    </w:p>
  </w:footnote>
  <w:footnote w:id="24">
    <w:p w:rsidR="00292860" w:rsidRPr="00C965EC" w:rsidRDefault="00292860" w:rsidP="00EA63C1">
      <w:pPr>
        <w:pStyle w:val="a3"/>
        <w:spacing w:before="120" w:after="120"/>
        <w:rPr>
          <w:rFonts w:hint="cs"/>
          <w:rtl/>
        </w:rPr>
      </w:pPr>
      <w:r w:rsidRPr="00C965EC">
        <w:rPr>
          <w:rStyle w:val="a5"/>
        </w:rPr>
        <w:footnoteRef/>
      </w:r>
      <w:r w:rsidRPr="00C965EC">
        <w:rPr>
          <w:rtl/>
        </w:rPr>
        <w:t xml:space="preserve"> </w:t>
      </w:r>
      <w:r w:rsidRPr="00C965EC">
        <w:rPr>
          <w:rFonts w:hint="cs"/>
          <w:rtl/>
        </w:rPr>
        <w:t xml:space="preserve">ארד, ציאח, עמ' 143 הערה 45; </w:t>
      </w:r>
      <w:r w:rsidR="00EA63C1">
        <w:rPr>
          <w:rFonts w:hint="cs"/>
          <w:rtl/>
        </w:rPr>
        <w:t xml:space="preserve">ע' שי, </w:t>
      </w:r>
      <w:r w:rsidR="00EA63C1" w:rsidRPr="0076306D">
        <w:rPr>
          <w:rFonts w:hint="cs"/>
          <w:rtl/>
        </w:rPr>
        <w:t>צפת: צמיחתה של עיר במהלך ימי הביניים (</w:t>
      </w:r>
      <w:r w:rsidR="00EA63C1">
        <w:rPr>
          <w:rFonts w:hint="cs"/>
          <w:rtl/>
        </w:rPr>
        <w:t>1517-1099</w:t>
      </w:r>
      <w:r w:rsidR="00EA63C1" w:rsidRPr="0076306D">
        <w:rPr>
          <w:rFonts w:hint="cs"/>
          <w:rtl/>
        </w:rPr>
        <w:t>) - עבודה לשם קבלת תואר מוסמך, רמת גן תשנ"ז</w:t>
      </w:r>
      <w:r w:rsidR="00EA63C1">
        <w:rPr>
          <w:rFonts w:hint="cs"/>
          <w:rtl/>
        </w:rPr>
        <w:t>,</w:t>
      </w:r>
      <w:r w:rsidR="00EA63C1" w:rsidRPr="00C965EC">
        <w:rPr>
          <w:rFonts w:hint="cs"/>
          <w:rtl/>
        </w:rPr>
        <w:t xml:space="preserve"> </w:t>
      </w:r>
      <w:r w:rsidRPr="00C965EC">
        <w:rPr>
          <w:rFonts w:hint="cs"/>
          <w:rtl/>
        </w:rPr>
        <w:t xml:space="preserve">עמ' 163; </w:t>
      </w:r>
      <w:r w:rsidR="00EA63C1">
        <w:rPr>
          <w:rFonts w:hint="cs"/>
          <w:rtl/>
        </w:rPr>
        <w:t xml:space="preserve">הנ"ל, </w:t>
      </w:r>
      <w:r w:rsidR="00EA63C1" w:rsidRPr="0076306D">
        <w:rPr>
          <w:rFonts w:hint="cs"/>
          <w:rtl/>
        </w:rPr>
        <w:t xml:space="preserve">"הקהילה היהודית בצפת בראשית ימי הביניים", סיני, קמ (תשס"ז), </w:t>
      </w:r>
      <w:r w:rsidRPr="00C965EC">
        <w:rPr>
          <w:rFonts w:hint="cs"/>
          <w:rtl/>
        </w:rPr>
        <w:t>עמ' קלז.</w:t>
      </w:r>
    </w:p>
  </w:footnote>
  <w:footnote w:id="25">
    <w:p w:rsidR="00292860" w:rsidRPr="00C965EC" w:rsidRDefault="00292860" w:rsidP="000C1535">
      <w:pPr>
        <w:pStyle w:val="a3"/>
        <w:spacing w:before="120" w:after="120"/>
        <w:rPr>
          <w:rFonts w:hint="cs"/>
        </w:rPr>
      </w:pPr>
      <w:r w:rsidRPr="00C965EC">
        <w:rPr>
          <w:rStyle w:val="a5"/>
        </w:rPr>
        <w:footnoteRef/>
      </w:r>
      <w:r w:rsidRPr="00C965EC">
        <w:rPr>
          <w:rtl/>
        </w:rPr>
        <w:t xml:space="preserve"> </w:t>
      </w:r>
      <w:r w:rsidR="000C1535">
        <w:rPr>
          <w:rFonts w:hint="cs"/>
          <w:rtl/>
        </w:rPr>
        <w:t xml:space="preserve">א' דוד, </w:t>
      </w:r>
      <w:r w:rsidR="000C1535" w:rsidRPr="0076306D">
        <w:rPr>
          <w:rFonts w:hint="cs"/>
          <w:rtl/>
        </w:rPr>
        <w:t xml:space="preserve">"מעורבותם של אחרוני הנגידים במצרים בעניינה של הקהילה היהודית בארץ ישראל", מ"ע פרידמן (עורך), תעודה: חקר הגניזה לאחר מאה שנה, טו, תל אביב תשנ"ט, עמ' </w:t>
      </w:r>
      <w:r w:rsidR="000C1535">
        <w:rPr>
          <w:rFonts w:hint="cs"/>
          <w:rtl/>
        </w:rPr>
        <w:t>323-313.</w:t>
      </w:r>
    </w:p>
  </w:footnote>
  <w:footnote w:id="26">
    <w:p w:rsidR="00292860" w:rsidRPr="00C965EC" w:rsidRDefault="00292860" w:rsidP="00292860">
      <w:pPr>
        <w:pStyle w:val="a3"/>
        <w:spacing w:before="120" w:after="120"/>
        <w:rPr>
          <w:rFonts w:hint="cs"/>
          <w:rtl/>
        </w:rPr>
      </w:pPr>
      <w:r w:rsidRPr="00C965EC">
        <w:rPr>
          <w:rStyle w:val="a5"/>
        </w:rPr>
        <w:footnoteRef/>
      </w:r>
      <w:r w:rsidRPr="00C965EC">
        <w:rPr>
          <w:rtl/>
        </w:rPr>
        <w:t xml:space="preserve"> </w:t>
      </w:r>
      <w:r w:rsidRPr="00C965EC">
        <w:rPr>
          <w:rFonts w:hint="cs"/>
          <w:rtl/>
        </w:rPr>
        <w:t>באסולה, עמ' 138.</w:t>
      </w:r>
    </w:p>
  </w:footnote>
  <w:footnote w:id="27">
    <w:p w:rsidR="00292860" w:rsidRPr="00C965EC" w:rsidRDefault="00292860" w:rsidP="00292860">
      <w:pPr>
        <w:pStyle w:val="a3"/>
        <w:spacing w:before="120" w:after="120"/>
      </w:pPr>
      <w:r w:rsidRPr="00C965EC">
        <w:rPr>
          <w:rStyle w:val="a5"/>
        </w:rPr>
        <w:footnoteRef/>
      </w:r>
      <w:r w:rsidRPr="00C965EC">
        <w:rPr>
          <w:rtl/>
        </w:rPr>
        <w:t xml:space="preserve"> עיבור שנים, דף לב ע"ב.</w:t>
      </w:r>
    </w:p>
  </w:footnote>
  <w:footnote w:id="28">
    <w:p w:rsidR="00292860" w:rsidRPr="00C965EC" w:rsidRDefault="00292860" w:rsidP="00292860">
      <w:pPr>
        <w:pStyle w:val="a3"/>
        <w:spacing w:before="120" w:after="120"/>
        <w:rPr>
          <w:rtl/>
        </w:rPr>
      </w:pPr>
      <w:r w:rsidRPr="00C965EC">
        <w:rPr>
          <w:rStyle w:val="a5"/>
        </w:rPr>
        <w:footnoteRef/>
      </w:r>
      <w:r w:rsidRPr="00C965EC">
        <w:rPr>
          <w:rtl/>
        </w:rPr>
        <w:t xml:space="preserve"> </w:t>
      </w:r>
      <w:r w:rsidRPr="00C965EC">
        <w:rPr>
          <w:rFonts w:hint="cs"/>
          <w:rtl/>
        </w:rPr>
        <w:t>שם</w:t>
      </w:r>
      <w:r w:rsidRPr="00C965EC">
        <w:rPr>
          <w:rtl/>
        </w:rPr>
        <w:t xml:space="preserve">, דף סא ע"א. </w:t>
      </w:r>
    </w:p>
  </w:footnote>
  <w:footnote w:id="29">
    <w:p w:rsidR="00292860" w:rsidRPr="00C965EC" w:rsidRDefault="00292860" w:rsidP="00292860">
      <w:pPr>
        <w:pStyle w:val="a3"/>
        <w:spacing w:before="120" w:after="120"/>
        <w:rPr>
          <w:rFonts w:hint="cs"/>
        </w:rPr>
      </w:pPr>
      <w:r w:rsidRPr="00C965EC">
        <w:rPr>
          <w:rStyle w:val="a5"/>
        </w:rPr>
        <w:footnoteRef/>
      </w:r>
      <w:r w:rsidRPr="00C965EC">
        <w:rPr>
          <w:rtl/>
        </w:rPr>
        <w:t xml:space="preserve"> </w:t>
      </w:r>
      <w:r w:rsidRPr="00C965EC">
        <w:rPr>
          <w:rFonts w:hint="cs"/>
          <w:rtl/>
        </w:rPr>
        <w:t>למשל: שם</w:t>
      </w:r>
      <w:r w:rsidRPr="00C965EC">
        <w:rPr>
          <w:rtl/>
        </w:rPr>
        <w:t xml:space="preserve">, דף </w:t>
      </w:r>
      <w:r w:rsidRPr="00C965EC">
        <w:rPr>
          <w:rFonts w:hint="cs"/>
          <w:rtl/>
        </w:rPr>
        <w:t xml:space="preserve">ע ע"א; </w:t>
      </w:r>
      <w:r w:rsidRPr="00C965EC">
        <w:rPr>
          <w:rtl/>
        </w:rPr>
        <w:t>פב ע"א</w:t>
      </w:r>
      <w:r w:rsidRPr="00C965EC">
        <w:rPr>
          <w:rFonts w:hint="cs"/>
          <w:rtl/>
        </w:rPr>
        <w:t>; בירב, סי' מט.</w:t>
      </w:r>
    </w:p>
  </w:footnote>
  <w:footnote w:id="30">
    <w:p w:rsidR="00292860" w:rsidRPr="00C965EC" w:rsidRDefault="00292860" w:rsidP="00292860">
      <w:pPr>
        <w:pStyle w:val="a3"/>
        <w:spacing w:before="120" w:after="120"/>
        <w:rPr>
          <w:rFonts w:hint="cs"/>
          <w:rtl/>
        </w:rPr>
      </w:pPr>
      <w:r w:rsidRPr="00C965EC">
        <w:rPr>
          <w:rStyle w:val="a5"/>
        </w:rPr>
        <w:footnoteRef/>
      </w:r>
      <w:r w:rsidRPr="00C965EC">
        <w:rPr>
          <w:rtl/>
        </w:rPr>
        <w:t xml:space="preserve"> כהן</w:t>
      </w:r>
      <w:r w:rsidRPr="00C965EC">
        <w:rPr>
          <w:rFonts w:hint="cs"/>
          <w:position w:val="6"/>
          <w:rtl/>
        </w:rPr>
        <w:t>-</w:t>
      </w:r>
      <w:r w:rsidRPr="00C965EC">
        <w:rPr>
          <w:rtl/>
        </w:rPr>
        <w:t>לואיס, המאה הט"ז, עמ' 161</w:t>
      </w:r>
      <w:r w:rsidRPr="00C965EC">
        <w:rPr>
          <w:rFonts w:hint="cs"/>
          <w:rtl/>
        </w:rPr>
        <w:t>.</w:t>
      </w:r>
    </w:p>
  </w:footnote>
  <w:footnote w:id="31">
    <w:p w:rsidR="00292860" w:rsidRDefault="00292860" w:rsidP="000C1535">
      <w:pPr>
        <w:pStyle w:val="a3"/>
        <w:spacing w:before="120" w:after="120"/>
        <w:rPr>
          <w:rFonts w:hint="cs"/>
        </w:rPr>
      </w:pPr>
      <w:r>
        <w:rPr>
          <w:rStyle w:val="a5"/>
        </w:rPr>
        <w:footnoteRef/>
      </w:r>
      <w:r>
        <w:rPr>
          <w:rtl/>
        </w:rPr>
        <w:t xml:space="preserve"> </w:t>
      </w:r>
      <w:r>
        <w:rPr>
          <w:rFonts w:hint="cs"/>
          <w:rtl/>
        </w:rPr>
        <w:t>לדעתו, לא הקפידו הפוקדים והנפקדים במפקד המוקדם לציין מסגרות נפרדות, ואף ייתכן שחלק מן הקהלים עדיין לא נפרדו מקהל המוסתערבים. המפקד המאוחר נערך לאחר שנפרדו מן המוסתערבים הקהלים שנספחו לו, וכך נדמה שנתמעטו במספרם, על אף שלמעשה התרבו (</w:t>
      </w:r>
      <w:r w:rsidR="000C1535">
        <w:rPr>
          <w:rFonts w:hint="cs"/>
          <w:rtl/>
        </w:rPr>
        <w:t xml:space="preserve">י' הקר, </w:t>
      </w:r>
      <w:r w:rsidR="000C1535" w:rsidRPr="0076306D">
        <w:rPr>
          <w:rFonts w:hint="cs"/>
          <w:rtl/>
        </w:rPr>
        <w:t xml:space="preserve">"יוונים נקבצים אלי צפת במאה השש עשרה: פרק בתולדות התמיכה ביהודי ארץ </w:t>
      </w:r>
      <w:r w:rsidR="000C1535">
        <w:rPr>
          <w:rFonts w:hint="cs"/>
          <w:rtl/>
        </w:rPr>
        <w:t>ישראל ובאירגונם העצמי", שלם, ז [תשס"ב]</w:t>
      </w:r>
      <w:r w:rsidR="000C1535" w:rsidRPr="0076306D">
        <w:rPr>
          <w:rFonts w:hint="cs"/>
          <w:rtl/>
        </w:rPr>
        <w:t xml:space="preserve">, </w:t>
      </w:r>
      <w:r>
        <w:rPr>
          <w:rFonts w:hint="cs"/>
          <w:rtl/>
        </w:rPr>
        <w:t>עמ' 134 הערה 4).</w:t>
      </w:r>
    </w:p>
  </w:footnote>
  <w:footnote w:id="32">
    <w:p w:rsidR="00292860" w:rsidRPr="00C965EC" w:rsidRDefault="00292860" w:rsidP="00292860">
      <w:pPr>
        <w:pStyle w:val="a3"/>
        <w:spacing w:before="120" w:after="120"/>
        <w:rPr>
          <w:rFonts w:hint="cs"/>
        </w:rPr>
      </w:pPr>
      <w:r w:rsidRPr="00C965EC">
        <w:rPr>
          <w:rStyle w:val="a5"/>
        </w:rPr>
        <w:footnoteRef/>
      </w:r>
      <w:r w:rsidRPr="00C965EC">
        <w:rPr>
          <w:rtl/>
        </w:rPr>
        <w:t xml:space="preserve"> </w:t>
      </w:r>
      <w:r w:rsidRPr="00C965EC">
        <w:rPr>
          <w:rFonts w:hint="cs"/>
          <w:rtl/>
        </w:rPr>
        <w:t>לדעת מ' רוזן זמנו של הדיון "בראשית המאה הי"ז, לכל המאוחר" (רוזן, המוסתערבים, עמ' 94), אבל הי</w:t>
      </w:r>
      <w:r w:rsidR="00A37EA0">
        <w:rPr>
          <w:rFonts w:hint="cs"/>
          <w:rtl/>
        </w:rPr>
        <w:t xml:space="preserve">א לא נימקה את דעתה. </w:t>
      </w:r>
      <w:r w:rsidRPr="00C965EC">
        <w:rPr>
          <w:rFonts w:hint="cs"/>
          <w:rtl/>
        </w:rPr>
        <w:t xml:space="preserve">מהריט"ץ </w:t>
      </w:r>
      <w:r w:rsidR="00A37EA0">
        <w:rPr>
          <w:rFonts w:hint="cs"/>
          <w:rtl/>
        </w:rPr>
        <w:t xml:space="preserve">כיהן </w:t>
      </w:r>
      <w:r w:rsidRPr="00C965EC">
        <w:rPr>
          <w:rFonts w:hint="cs"/>
          <w:rtl/>
        </w:rPr>
        <w:t>בבית הוועד בשנת ש"מ (מהריט"ץ, סי' לג), וגם בדיון זה הוא ממלא תפקיד באותו מוסד. ירידת שערי המטבעות שעמדה במרכז הדיון אפיינה את שנות השמונים של המאה הט"ז, לא פחות משאפיינה את ראשית המאה הי"ז.</w:t>
      </w:r>
    </w:p>
  </w:footnote>
  <w:footnote w:id="33">
    <w:p w:rsidR="00292860" w:rsidRPr="00C965EC" w:rsidRDefault="00292860" w:rsidP="00A37EA0">
      <w:pPr>
        <w:pStyle w:val="a3"/>
        <w:spacing w:before="120" w:after="120"/>
        <w:rPr>
          <w:rFonts w:hint="cs"/>
        </w:rPr>
      </w:pPr>
      <w:r w:rsidRPr="00C965EC">
        <w:rPr>
          <w:rStyle w:val="a5"/>
        </w:rPr>
        <w:footnoteRef/>
      </w:r>
      <w:r w:rsidRPr="00C965EC">
        <w:rPr>
          <w:rtl/>
        </w:rPr>
        <w:t xml:space="preserve"> </w:t>
      </w:r>
      <w:r w:rsidRPr="00C965EC">
        <w:rPr>
          <w:rFonts w:hint="cs"/>
          <w:rtl/>
        </w:rPr>
        <w:t xml:space="preserve">שם, סי' רעד. </w:t>
      </w:r>
    </w:p>
  </w:footnote>
  <w:footnote w:id="34">
    <w:p w:rsidR="00292860" w:rsidRPr="00C965EC" w:rsidRDefault="00292860" w:rsidP="00A37EA0">
      <w:pPr>
        <w:pStyle w:val="a3"/>
        <w:spacing w:before="120" w:after="120"/>
        <w:rPr>
          <w:rFonts w:hint="cs"/>
        </w:rPr>
      </w:pPr>
      <w:r w:rsidRPr="00C965EC">
        <w:rPr>
          <w:rStyle w:val="a5"/>
        </w:rPr>
        <w:footnoteRef/>
      </w:r>
      <w:r w:rsidRPr="00C965EC">
        <w:rPr>
          <w:rtl/>
        </w:rPr>
        <w:t xml:space="preserve"> </w:t>
      </w:r>
      <w:r w:rsidR="00A37EA0">
        <w:rPr>
          <w:rFonts w:hint="cs"/>
          <w:rtl/>
        </w:rPr>
        <w:t>ראו</w:t>
      </w:r>
      <w:r w:rsidRPr="00C965EC">
        <w:rPr>
          <w:rFonts w:hint="cs"/>
          <w:rtl/>
        </w:rPr>
        <w:t>: רוזן, המוסתערבים, עמ' 91. תהליך דומה של היחלשות כוחו הפוליטי, הכלכלי והמנהגי של קהל המוסתערבים התרחש גם בירושלים במאה הט"ז (</w:t>
      </w:r>
      <w:r w:rsidR="00A37EA0">
        <w:rPr>
          <w:rFonts w:hint="cs"/>
          <w:rtl/>
        </w:rPr>
        <w:t xml:space="preserve">מ' </w:t>
      </w:r>
      <w:r w:rsidRPr="00C965EC">
        <w:rPr>
          <w:rtl/>
        </w:rPr>
        <w:t xml:space="preserve">רוזן, </w:t>
      </w:r>
      <w:r w:rsidR="00A37EA0" w:rsidRPr="0076306D">
        <w:rPr>
          <w:rFonts w:hint="cs"/>
          <w:rtl/>
        </w:rPr>
        <w:t>הקהילה היהודית בירושלים במאה הי"ז, תל אביב תשמ"ה</w:t>
      </w:r>
      <w:r w:rsidRPr="00C965EC">
        <w:rPr>
          <w:rtl/>
        </w:rPr>
        <w:t xml:space="preserve">, עמ' </w:t>
      </w:r>
      <w:r w:rsidR="00A37EA0">
        <w:rPr>
          <w:rFonts w:hint="cs"/>
          <w:rtl/>
        </w:rPr>
        <w:t>97-94). וראו</w:t>
      </w:r>
      <w:r>
        <w:rPr>
          <w:rFonts w:hint="cs"/>
          <w:rtl/>
        </w:rPr>
        <w:t xml:space="preserve">: ארד, </w:t>
      </w:r>
      <w:r w:rsidR="00A37EA0">
        <w:rPr>
          <w:rFonts w:hint="cs"/>
          <w:rtl/>
        </w:rPr>
        <w:t>ציאח</w:t>
      </w:r>
      <w:r>
        <w:rPr>
          <w:rFonts w:hint="cs"/>
          <w:rtl/>
        </w:rPr>
        <w:t>,</w:t>
      </w:r>
      <w:r w:rsidRPr="00C965EC">
        <w:rPr>
          <w:rFonts w:hint="cs"/>
          <w:rtl/>
        </w:rPr>
        <w:t xml:space="preserve"> עמ' </w:t>
      </w:r>
      <w:r w:rsidR="00A37EA0">
        <w:rPr>
          <w:rFonts w:hint="cs"/>
          <w:rtl/>
        </w:rPr>
        <w:t>144-143.</w:t>
      </w:r>
      <w:r w:rsidRPr="00C965EC">
        <w:rPr>
          <w:rFonts w:hint="cs"/>
          <w:rtl/>
        </w:rPr>
        <w:t xml:space="preserve"> ברבע השני של המאה הי"ז נזכרת עדות של הנוסע הנוצרי אבגניוס רוג</w:t>
      </w:r>
      <w:r w:rsidRPr="00C965EC">
        <w:rPr>
          <w:rtl/>
        </w:rPr>
        <w:t>'</w:t>
      </w:r>
      <w:r w:rsidRPr="00C965EC">
        <w:rPr>
          <w:rFonts w:hint="cs"/>
          <w:rtl/>
        </w:rPr>
        <w:t>ה אודות הקפדתם של ילידי הארץ הוותיקים לא להינשא עם יוצאי חצי האי האיברי, מחשש מפני קרבתם לאנוסים ולנוצרים (</w:t>
      </w:r>
      <w:r w:rsidR="00A37EA0" w:rsidRPr="001E0689">
        <w:rPr>
          <w:rFonts w:hint="cs"/>
          <w:rtl/>
        </w:rPr>
        <w:t>מ' איש שלום, מסעי נוצרים לארץ ישראל, ת</w:t>
      </w:r>
      <w:r w:rsidR="00A37EA0">
        <w:rPr>
          <w:rFonts w:hint="cs"/>
          <w:rtl/>
        </w:rPr>
        <w:t xml:space="preserve">ל אביב תשל"ט, </w:t>
      </w:r>
      <w:r w:rsidRPr="00C965EC">
        <w:rPr>
          <w:rFonts w:hint="cs"/>
          <w:rtl/>
        </w:rPr>
        <w:t>עמ' 338</w:t>
      </w:r>
      <w:r w:rsidR="00A37EA0">
        <w:rPr>
          <w:rFonts w:hint="cs"/>
          <w:rtl/>
        </w:rPr>
        <w:t xml:space="preserve">), </w:t>
      </w:r>
      <w:r w:rsidRPr="00C965EC">
        <w:rPr>
          <w:rFonts w:hint="cs"/>
          <w:rtl/>
        </w:rPr>
        <w:t>אבל אין ללמוד מעדות זו על המשך קיומם הקהלי של המוסתערבים, ובוודאי שלא בצפת.</w:t>
      </w:r>
    </w:p>
  </w:footnote>
  <w:footnote w:id="35">
    <w:p w:rsidR="003B386C" w:rsidRPr="00116782" w:rsidRDefault="003B386C" w:rsidP="00A37EA0">
      <w:pPr>
        <w:pStyle w:val="a3"/>
        <w:spacing w:before="120" w:after="120"/>
      </w:pPr>
      <w:r w:rsidRPr="00116782">
        <w:rPr>
          <w:rStyle w:val="a5"/>
        </w:rPr>
        <w:footnoteRef/>
      </w:r>
      <w:r w:rsidRPr="00116782">
        <w:rPr>
          <w:rtl/>
        </w:rPr>
        <w:t xml:space="preserve"> </w:t>
      </w:r>
      <w:r w:rsidRPr="00116782">
        <w:rPr>
          <w:rFonts w:hint="cs"/>
          <w:rtl/>
        </w:rPr>
        <w:t>בספרות ההלכה מופיע בהזדמנויות שונות המושג 'מנהג צפת', שמשמעו מנהג המיוחד לצפת, או שמקורו מן הנהוג בה</w:t>
      </w:r>
      <w:r>
        <w:rPr>
          <w:rFonts w:hint="cs"/>
          <w:rtl/>
        </w:rPr>
        <w:t xml:space="preserve">. </w:t>
      </w:r>
      <w:r w:rsidR="00A37EA0">
        <w:rPr>
          <w:rFonts w:hint="cs"/>
          <w:rtl/>
        </w:rPr>
        <w:t>ראו: דודסון, דיסרטציה,</w:t>
      </w:r>
      <w:r>
        <w:rPr>
          <w:rFonts w:hint="cs"/>
          <w:rtl/>
        </w:rPr>
        <w:t xml:space="preserve"> עמ' 84.</w:t>
      </w:r>
    </w:p>
  </w:footnote>
  <w:footnote w:id="36">
    <w:p w:rsidR="003B386C" w:rsidRPr="00116782" w:rsidRDefault="003B386C" w:rsidP="003B386C">
      <w:pPr>
        <w:pStyle w:val="a3"/>
        <w:spacing w:before="120" w:after="120"/>
      </w:pPr>
      <w:r w:rsidRPr="00116782">
        <w:rPr>
          <w:rStyle w:val="a5"/>
        </w:rPr>
        <w:footnoteRef/>
      </w:r>
      <w:r w:rsidR="00A37EA0">
        <w:rPr>
          <w:rtl/>
        </w:rPr>
        <w:t xml:space="preserve"> עיבור שנים, דף סט ע"א. ורא</w:t>
      </w:r>
      <w:r w:rsidR="00A37EA0">
        <w:rPr>
          <w:rFonts w:hint="cs"/>
          <w:rtl/>
        </w:rPr>
        <w:t>ו</w:t>
      </w:r>
      <w:r w:rsidRPr="00116782">
        <w:rPr>
          <w:rtl/>
        </w:rPr>
        <w:t>: גליס, מנהגי א"י, עמ' קצב.</w:t>
      </w:r>
    </w:p>
  </w:footnote>
  <w:footnote w:id="37">
    <w:p w:rsidR="003B386C" w:rsidRPr="00116782" w:rsidRDefault="003B386C" w:rsidP="00F335DB">
      <w:pPr>
        <w:pStyle w:val="a3"/>
        <w:spacing w:before="120" w:after="120"/>
      </w:pPr>
      <w:r w:rsidRPr="00116782">
        <w:rPr>
          <w:rStyle w:val="a5"/>
        </w:rPr>
        <w:footnoteRef/>
      </w:r>
      <w:r w:rsidRPr="00116782">
        <w:rPr>
          <w:rtl/>
        </w:rPr>
        <w:t xml:space="preserve"> </w:t>
      </w:r>
      <w:r>
        <w:rPr>
          <w:rFonts w:hint="cs"/>
          <w:rtl/>
        </w:rPr>
        <w:t xml:space="preserve">הצורך בשמירה על אחידות בסדרי קריאת התורה נובע מקיום סדר יום הלכתי אחיד, וציון משותף של אירועים דתיים בלוח השנה, במיוחד על רקע ההבדלים הקדומים בין המנהג הארץ ישראלי למנהג הבבלי. </w:t>
      </w:r>
      <w:r w:rsidR="00F335DB">
        <w:rPr>
          <w:rFonts w:hint="cs"/>
          <w:rtl/>
        </w:rPr>
        <w:t xml:space="preserve">ראו: פליישר, </w:t>
      </w:r>
      <w:r w:rsidRPr="00116782">
        <w:rPr>
          <w:rFonts w:hint="cs"/>
          <w:rtl/>
        </w:rPr>
        <w:t>קריאה</w:t>
      </w:r>
      <w:r w:rsidR="00F335DB">
        <w:rPr>
          <w:rFonts w:hint="cs"/>
          <w:rtl/>
        </w:rPr>
        <w:t xml:space="preserve">, </w:t>
      </w:r>
      <w:r w:rsidRPr="00116782">
        <w:rPr>
          <w:rFonts w:hint="cs"/>
          <w:rtl/>
        </w:rPr>
        <w:t xml:space="preserve">עמ' </w:t>
      </w:r>
      <w:r w:rsidR="00F335DB">
        <w:rPr>
          <w:rFonts w:hint="cs"/>
          <w:rtl/>
        </w:rPr>
        <w:t>43-25</w:t>
      </w:r>
      <w:r w:rsidRPr="00116782">
        <w:rPr>
          <w:rFonts w:hint="cs"/>
          <w:rtl/>
        </w:rPr>
        <w:t xml:space="preserve">; </w:t>
      </w:r>
      <w:r w:rsidR="00F335DB">
        <w:rPr>
          <w:rFonts w:hint="cs"/>
          <w:rtl/>
        </w:rPr>
        <w:t xml:space="preserve">נאה, על המחזור, </w:t>
      </w:r>
      <w:r w:rsidRPr="00116782">
        <w:rPr>
          <w:rFonts w:hint="cs"/>
          <w:rtl/>
        </w:rPr>
        <w:t xml:space="preserve">עמ' </w:t>
      </w:r>
      <w:r w:rsidR="00F335DB">
        <w:rPr>
          <w:rFonts w:hint="cs"/>
          <w:rtl/>
        </w:rPr>
        <w:t>75-43.</w:t>
      </w:r>
    </w:p>
  </w:footnote>
  <w:footnote w:id="38">
    <w:p w:rsidR="003B386C" w:rsidRPr="00116782" w:rsidRDefault="003B386C" w:rsidP="00F335DB">
      <w:pPr>
        <w:pStyle w:val="a3"/>
        <w:spacing w:before="120" w:after="120"/>
      </w:pPr>
      <w:r w:rsidRPr="00116782">
        <w:rPr>
          <w:rStyle w:val="a5"/>
        </w:rPr>
        <w:footnoteRef/>
      </w:r>
      <w:r w:rsidRPr="00116782">
        <w:rPr>
          <w:rtl/>
        </w:rPr>
        <w:t xml:space="preserve"> </w:t>
      </w:r>
      <w:r w:rsidR="00F335DB">
        <w:rPr>
          <w:rFonts w:hint="cs"/>
          <w:rtl/>
        </w:rPr>
        <w:t>ראו</w:t>
      </w:r>
      <w:r>
        <w:rPr>
          <w:rFonts w:hint="cs"/>
          <w:rtl/>
        </w:rPr>
        <w:t xml:space="preserve">: </w:t>
      </w:r>
      <w:r w:rsidR="00F335DB">
        <w:rPr>
          <w:rFonts w:hint="cs"/>
          <w:rtl/>
        </w:rPr>
        <w:t>מ' אלון, המשפט העברי, ב,</w:t>
      </w:r>
      <w:r w:rsidR="00F335DB" w:rsidRPr="0076306D">
        <w:rPr>
          <w:rFonts w:hint="cs"/>
          <w:rtl/>
        </w:rPr>
        <w:t xml:space="preserve"> ירושלים תשל"ג</w:t>
      </w:r>
      <w:r w:rsidR="00F335DB">
        <w:rPr>
          <w:rFonts w:hint="cs"/>
          <w:rtl/>
        </w:rPr>
        <w:t xml:space="preserve">, </w:t>
      </w:r>
      <w:r w:rsidRPr="00116782">
        <w:rPr>
          <w:rFonts w:hint="cs"/>
          <w:rtl/>
        </w:rPr>
        <w:t xml:space="preserve">עמ' </w:t>
      </w:r>
      <w:r w:rsidR="00F335DB">
        <w:rPr>
          <w:rFonts w:hint="cs"/>
          <w:rtl/>
        </w:rPr>
        <w:t>767-726;</w:t>
      </w:r>
      <w:r w:rsidRPr="00116782">
        <w:rPr>
          <w:rFonts w:hint="cs"/>
          <w:rtl/>
        </w:rPr>
        <w:t xml:space="preserve"> ד' שפרבר, מנהגי ישראל, א, ירושלים תש"נ, עמ' כ-ל.</w:t>
      </w:r>
    </w:p>
  </w:footnote>
  <w:footnote w:id="39">
    <w:p w:rsidR="003B386C" w:rsidRPr="00116782" w:rsidRDefault="003B386C" w:rsidP="00506D68">
      <w:pPr>
        <w:pStyle w:val="a3"/>
        <w:spacing w:before="120" w:after="120"/>
        <w:rPr>
          <w:rtl/>
        </w:rPr>
      </w:pPr>
      <w:r w:rsidRPr="00116782">
        <w:rPr>
          <w:rStyle w:val="a5"/>
        </w:rPr>
        <w:footnoteRef/>
      </w:r>
      <w:r w:rsidRPr="00116782">
        <w:rPr>
          <w:rtl/>
        </w:rPr>
        <w:t xml:space="preserve"> </w:t>
      </w:r>
      <w:r w:rsidRPr="00116782">
        <w:rPr>
          <w:rFonts w:hint="cs"/>
          <w:rtl/>
        </w:rPr>
        <w:t>למשל: "ואנחנו נהגנו פה [בצפת] שיכולין לטעון, ואכ [=ואם כן] בעיר הזאת הוי מ</w:t>
      </w:r>
      <w:r w:rsidRPr="00116782">
        <w:rPr>
          <w:rFonts w:hint="eastAsia"/>
          <w:rtl/>
        </w:rPr>
        <w:t>ִ</w:t>
      </w:r>
      <w:r w:rsidRPr="00116782">
        <w:rPr>
          <w:rFonts w:hint="cs"/>
          <w:rtl/>
        </w:rPr>
        <w:t>גו</w:t>
      </w:r>
      <w:r w:rsidRPr="00116782">
        <w:rPr>
          <w:rFonts w:hint="eastAsia"/>
          <w:rtl/>
        </w:rPr>
        <w:t>ֹ</w:t>
      </w:r>
      <w:r w:rsidRPr="00116782">
        <w:rPr>
          <w:rFonts w:hint="cs"/>
          <w:rtl/>
        </w:rPr>
        <w:t xml:space="preserve"> טוב [מן ההלכה שנפסקה], וברצון טוב יטעון </w:t>
      </w:r>
      <w:r w:rsidR="00BD7E83">
        <w:rPr>
          <w:rFonts w:hint="cs"/>
          <w:rtl/>
        </w:rPr>
        <w:t>אותו" (מבי"ט, ח"א סי' רפט). וראו</w:t>
      </w:r>
      <w:r w:rsidRPr="00116782">
        <w:rPr>
          <w:rFonts w:hint="cs"/>
          <w:rtl/>
        </w:rPr>
        <w:t xml:space="preserve">: אשכנזי, א; יא. </w:t>
      </w:r>
      <w:r>
        <w:rPr>
          <w:rFonts w:hint="cs"/>
          <w:rtl/>
        </w:rPr>
        <w:t xml:space="preserve">גישה דומה ננקטה בידי רדב"ז בשעה שפעל בירושלים (רדב"ז, ח"א סי' שעד). </w:t>
      </w:r>
      <w:r w:rsidR="00BD7E83">
        <w:rPr>
          <w:rFonts w:hint="cs"/>
          <w:rtl/>
        </w:rPr>
        <w:t xml:space="preserve">וראו: </w:t>
      </w:r>
      <w:r w:rsidR="00506D68">
        <w:rPr>
          <w:rFonts w:hint="cs"/>
          <w:rtl/>
        </w:rPr>
        <w:t xml:space="preserve">וסטרייך, תמורות, </w:t>
      </w:r>
      <w:r>
        <w:rPr>
          <w:rFonts w:hint="cs"/>
          <w:rtl/>
        </w:rPr>
        <w:t xml:space="preserve">עמ' </w:t>
      </w:r>
      <w:r w:rsidR="00E4496D">
        <w:rPr>
          <w:rFonts w:hint="cs"/>
          <w:rtl/>
        </w:rPr>
        <w:t xml:space="preserve">263-262; </w:t>
      </w:r>
      <w:r w:rsidR="00E4496D">
        <w:rPr>
          <w:rFonts w:hint="cs"/>
          <w:rtl/>
        </w:rPr>
        <w:t>ראו: דותן, דיסרטציה, עמ'</w:t>
      </w:r>
      <w:r w:rsidR="00E4496D">
        <w:rPr>
          <w:rFonts w:hint="cs"/>
          <w:rtl/>
        </w:rPr>
        <w:t xml:space="preserve"> 122-115.</w:t>
      </w:r>
    </w:p>
  </w:footnote>
  <w:footnote w:id="40">
    <w:p w:rsidR="003B386C" w:rsidRPr="00116782" w:rsidRDefault="003B386C" w:rsidP="00BD7E83">
      <w:pPr>
        <w:pStyle w:val="a3"/>
        <w:spacing w:before="120" w:after="120"/>
        <w:rPr>
          <w:rtl/>
        </w:rPr>
      </w:pPr>
      <w:r w:rsidRPr="00116782">
        <w:rPr>
          <w:rStyle w:val="a5"/>
        </w:rPr>
        <w:footnoteRef/>
      </w:r>
      <w:r w:rsidRPr="00116782">
        <w:rPr>
          <w:rtl/>
        </w:rPr>
        <w:t xml:space="preserve"> </w:t>
      </w:r>
      <w:r w:rsidR="00BD7E83">
        <w:rPr>
          <w:rFonts w:hint="cs"/>
          <w:rtl/>
        </w:rPr>
        <w:t xml:space="preserve">ראו: שרמן, </w:t>
      </w:r>
      <w:r w:rsidRPr="00116782">
        <w:rPr>
          <w:rFonts w:hint="cs"/>
          <w:rtl/>
        </w:rPr>
        <w:t>כוחו</w:t>
      </w:r>
      <w:r w:rsidR="00BD7E83">
        <w:rPr>
          <w:rFonts w:hint="cs"/>
          <w:rtl/>
        </w:rPr>
        <w:t xml:space="preserve">, </w:t>
      </w:r>
      <w:r w:rsidRPr="00116782">
        <w:rPr>
          <w:rFonts w:hint="cs"/>
          <w:rtl/>
        </w:rPr>
        <w:t>עמ' נו-פא.</w:t>
      </w:r>
    </w:p>
  </w:footnote>
  <w:footnote w:id="41">
    <w:p w:rsidR="003B386C" w:rsidRPr="00116782" w:rsidRDefault="003B386C" w:rsidP="003B386C">
      <w:pPr>
        <w:pStyle w:val="a3"/>
        <w:spacing w:before="120" w:after="120"/>
      </w:pPr>
      <w:r w:rsidRPr="00116782">
        <w:rPr>
          <w:rStyle w:val="a5"/>
        </w:rPr>
        <w:footnoteRef/>
      </w:r>
      <w:r w:rsidRPr="00116782">
        <w:rPr>
          <w:rtl/>
        </w:rPr>
        <w:t xml:space="preserve"> שו"ע, או"ח סי' תקסו</w:t>
      </w:r>
      <w:r w:rsidRPr="00116782">
        <w:rPr>
          <w:rFonts w:hint="cs"/>
          <w:rtl/>
        </w:rPr>
        <w:t>,</w:t>
      </w:r>
      <w:r w:rsidRPr="00116782">
        <w:rPr>
          <w:rtl/>
        </w:rPr>
        <w:t xml:space="preserve"> ד</w:t>
      </w:r>
      <w:r w:rsidRPr="00116782">
        <w:rPr>
          <w:rFonts w:hint="cs"/>
          <w:rtl/>
        </w:rPr>
        <w:t>. והשווה: שם, יו"ד סי' ריד, ב.</w:t>
      </w:r>
    </w:p>
  </w:footnote>
  <w:footnote w:id="42">
    <w:p w:rsidR="003B386C" w:rsidRPr="00116782" w:rsidRDefault="003B386C" w:rsidP="003B386C">
      <w:pPr>
        <w:pStyle w:val="a3"/>
        <w:spacing w:before="120" w:after="120"/>
      </w:pPr>
      <w:r w:rsidRPr="00116782">
        <w:rPr>
          <w:rStyle w:val="a5"/>
        </w:rPr>
        <w:footnoteRef/>
      </w:r>
      <w:r w:rsidRPr="00116782">
        <w:rPr>
          <w:rtl/>
        </w:rPr>
        <w:t xml:space="preserve"> </w:t>
      </w:r>
      <w:r>
        <w:rPr>
          <w:rFonts w:hint="cs"/>
          <w:rtl/>
        </w:rPr>
        <w:t>"[...] וספר הדברי'</w:t>
      </w:r>
      <w:r w:rsidR="00BD7E83">
        <w:rPr>
          <w:rFonts w:hint="cs"/>
          <w:rtl/>
        </w:rPr>
        <w:t>[ם]</w:t>
      </w:r>
      <w:r>
        <w:rPr>
          <w:rFonts w:hint="cs"/>
          <w:rtl/>
        </w:rPr>
        <w:t xml:space="preserve"> לפני החכם [...] מהר"ר יוסף קארו נר"ו, ואמר לו יפה עשה, ומנהג טוב הוא [...] אלא שקהילותנו הספרדים יצ"ו לא נהגו לעלות, </w:t>
      </w:r>
      <w:r w:rsidRPr="00294D47">
        <w:rPr>
          <w:rFonts w:hint="cs"/>
          <w:rtl/>
        </w:rPr>
        <w:t>ואני כמו שמצאתי המנהגות מזמן רב נוהגין, הנחתי אותם"</w:t>
      </w:r>
      <w:r>
        <w:rPr>
          <w:rFonts w:hint="cs"/>
          <w:rtl/>
        </w:rPr>
        <w:t xml:space="preserve"> (</w:t>
      </w:r>
      <w:r w:rsidRPr="00116782">
        <w:rPr>
          <w:rFonts w:hint="cs"/>
          <w:rtl/>
        </w:rPr>
        <w:t>עיבור שנים, דף סא ע"א</w:t>
      </w:r>
      <w:r>
        <w:rPr>
          <w:rFonts w:hint="cs"/>
          <w:rtl/>
        </w:rPr>
        <w:t>)</w:t>
      </w:r>
      <w:r w:rsidRPr="00116782">
        <w:rPr>
          <w:rFonts w:hint="cs"/>
          <w:rtl/>
        </w:rPr>
        <w:t xml:space="preserve">. </w:t>
      </w:r>
    </w:p>
  </w:footnote>
  <w:footnote w:id="43">
    <w:p w:rsidR="003B386C" w:rsidRDefault="003B386C" w:rsidP="003B386C">
      <w:pPr>
        <w:pStyle w:val="a3"/>
        <w:spacing w:before="120" w:after="120"/>
      </w:pPr>
      <w:r>
        <w:rPr>
          <w:rStyle w:val="a5"/>
        </w:rPr>
        <w:footnoteRef/>
      </w:r>
      <w:r>
        <w:rPr>
          <w:rtl/>
        </w:rPr>
        <w:t xml:space="preserve"> </w:t>
      </w:r>
      <w:r w:rsidRPr="00116782">
        <w:rPr>
          <w:rFonts w:hint="cs"/>
          <w:rtl/>
        </w:rPr>
        <w:t>אבקת רוכל, סי' ריב</w:t>
      </w:r>
      <w:r>
        <w:rPr>
          <w:rFonts w:hint="cs"/>
          <w:rtl/>
        </w:rPr>
        <w:t>.</w:t>
      </w:r>
    </w:p>
  </w:footnote>
  <w:footnote w:id="44">
    <w:p w:rsidR="003B386C" w:rsidRPr="00116782" w:rsidRDefault="003B386C" w:rsidP="003B386C">
      <w:pPr>
        <w:pStyle w:val="a3"/>
        <w:spacing w:before="120" w:after="120"/>
      </w:pPr>
      <w:r w:rsidRPr="00116782">
        <w:rPr>
          <w:rStyle w:val="a5"/>
        </w:rPr>
        <w:footnoteRef/>
      </w:r>
      <w:r w:rsidRPr="00116782">
        <w:rPr>
          <w:rtl/>
        </w:rPr>
        <w:t xml:space="preserve"> גלאנטי, סי' ו; יט; קכד</w:t>
      </w:r>
      <w:r w:rsidRPr="00116782">
        <w:rPr>
          <w:rFonts w:hint="cs"/>
          <w:rtl/>
        </w:rPr>
        <w:t>.</w:t>
      </w:r>
    </w:p>
  </w:footnote>
  <w:footnote w:id="45">
    <w:p w:rsidR="003B386C" w:rsidRPr="00116782" w:rsidRDefault="003B386C" w:rsidP="00BD7E83">
      <w:pPr>
        <w:pStyle w:val="a3"/>
        <w:spacing w:before="120" w:after="120"/>
      </w:pPr>
      <w:r w:rsidRPr="00116782">
        <w:rPr>
          <w:rStyle w:val="a5"/>
        </w:rPr>
        <w:footnoteRef/>
      </w:r>
      <w:r w:rsidRPr="00116782">
        <w:rPr>
          <w:rtl/>
        </w:rPr>
        <w:t xml:space="preserve"> ל</w:t>
      </w:r>
      <w:r w:rsidRPr="00116782">
        <w:rPr>
          <w:rFonts w:hint="cs"/>
          <w:rtl/>
        </w:rPr>
        <w:t>דוגמה</w:t>
      </w:r>
      <w:r w:rsidRPr="00116782">
        <w:rPr>
          <w:rtl/>
        </w:rPr>
        <w:t xml:space="preserve">: "ואם הוא דרך מועט כמו מצור לצידון, שאין ביניהם כי אם מהלך יום אחד, מותר להפליג בע"ש </w:t>
      </w:r>
      <w:r w:rsidR="00BD7E83">
        <w:rPr>
          <w:rFonts w:hint="cs"/>
          <w:rtl/>
        </w:rPr>
        <w:t xml:space="preserve">[=בערב שבת] </w:t>
      </w:r>
      <w:r w:rsidRPr="00116782">
        <w:rPr>
          <w:rtl/>
        </w:rPr>
        <w:t>בבקר [...] ומקום שנהגו שלא להפליג בע"ש כלל, אפי'[לו] דרך מועט, אין מפליגין" (שו"ע, או"ח סי' רמח</w:t>
      </w:r>
      <w:r w:rsidRPr="00116782">
        <w:rPr>
          <w:rFonts w:hint="cs"/>
          <w:rtl/>
        </w:rPr>
        <w:t>,</w:t>
      </w:r>
      <w:r w:rsidRPr="00116782">
        <w:rPr>
          <w:rtl/>
        </w:rPr>
        <w:t xml:space="preserve"> א); "נוהגין לקדש בבהכ"נ [...] אבל יותר טוב להנהיג שלא לקדש בבהכ"נ, וכן מנהג א"י" (</w:t>
      </w:r>
      <w:r w:rsidRPr="00116782">
        <w:rPr>
          <w:rFonts w:hint="cs"/>
          <w:rtl/>
        </w:rPr>
        <w:t>שם,</w:t>
      </w:r>
      <w:r w:rsidRPr="00116782">
        <w:rPr>
          <w:rtl/>
        </w:rPr>
        <w:t xml:space="preserve"> סי' רסט</w:t>
      </w:r>
      <w:r w:rsidRPr="00116782">
        <w:rPr>
          <w:rFonts w:hint="cs"/>
          <w:rtl/>
        </w:rPr>
        <w:t>,</w:t>
      </w:r>
      <w:r w:rsidRPr="00116782">
        <w:rPr>
          <w:rtl/>
        </w:rPr>
        <w:t xml:space="preserve"> א). </w:t>
      </w:r>
      <w:r w:rsidRPr="00116782">
        <w:rPr>
          <w:rFonts w:hint="cs"/>
          <w:rtl/>
        </w:rPr>
        <w:t>ו</w:t>
      </w:r>
      <w:r w:rsidR="00BD7E83">
        <w:rPr>
          <w:rtl/>
        </w:rPr>
        <w:t>רא</w:t>
      </w:r>
      <w:r w:rsidR="00BD7E83">
        <w:rPr>
          <w:rFonts w:hint="cs"/>
          <w:rtl/>
        </w:rPr>
        <w:t>ו</w:t>
      </w:r>
      <w:r w:rsidRPr="00116782">
        <w:rPr>
          <w:rtl/>
        </w:rPr>
        <w:t xml:space="preserve">: </w:t>
      </w:r>
      <w:r w:rsidR="00BD7E83" w:rsidRPr="0076306D">
        <w:rPr>
          <w:rtl/>
        </w:rPr>
        <w:t>א' ביטון, עיר הצב"י, צפת תשנ"ו</w:t>
      </w:r>
      <w:r w:rsidRPr="00116782">
        <w:rPr>
          <w:rtl/>
        </w:rPr>
        <w:t>, עמ' יא-מב.</w:t>
      </w:r>
    </w:p>
  </w:footnote>
  <w:footnote w:id="46">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 שלא ישנה ממה שנהגו הסופרים זה ימים ושנים נהר נהרי ופשטיה, וכל שינוי רע וידו על התחתונה" (גלאנטי, סי' ו).</w:t>
      </w:r>
    </w:p>
  </w:footnote>
  <w:footnote w:id="47">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 xml:space="preserve">הקר, סוסאן, עמ' 93. </w:t>
      </w:r>
      <w:r w:rsidR="00BD7E83">
        <w:rPr>
          <w:rFonts w:hint="cs"/>
          <w:rtl/>
        </w:rPr>
        <w:t>וראו</w:t>
      </w:r>
      <w:r>
        <w:rPr>
          <w:rFonts w:hint="cs"/>
          <w:rtl/>
        </w:rPr>
        <w:t>: שם,</w:t>
      </w:r>
      <w:r w:rsidRPr="00116782">
        <w:rPr>
          <w:rFonts w:hint="cs"/>
          <w:rtl/>
        </w:rPr>
        <w:t xml:space="preserve"> עמ' 89.</w:t>
      </w:r>
      <w:r>
        <w:rPr>
          <w:rFonts w:hint="cs"/>
          <w:rtl/>
        </w:rPr>
        <w:t xml:space="preserve"> </w:t>
      </w:r>
      <w:r w:rsidR="00BD7E83">
        <w:rPr>
          <w:rFonts w:hint="cs"/>
          <w:rtl/>
        </w:rPr>
        <w:t>והשוו</w:t>
      </w:r>
      <w:r w:rsidRPr="00116782">
        <w:rPr>
          <w:rFonts w:hint="cs"/>
          <w:rtl/>
        </w:rPr>
        <w:t xml:space="preserve">: עיבור שנים, דף סט ע"א. </w:t>
      </w:r>
    </w:p>
  </w:footnote>
  <w:footnote w:id="48">
    <w:p w:rsidR="00673CF2" w:rsidRDefault="00673CF2">
      <w:pPr>
        <w:pStyle w:val="a3"/>
        <w:rPr>
          <w:rFonts w:hint="cs"/>
        </w:rPr>
      </w:pPr>
      <w:r>
        <w:rPr>
          <w:rStyle w:val="a5"/>
        </w:rPr>
        <w:footnoteRef/>
      </w:r>
      <w:r>
        <w:rPr>
          <w:rtl/>
        </w:rPr>
        <w:t xml:space="preserve"> </w:t>
      </w:r>
      <w:r>
        <w:rPr>
          <w:rFonts w:hint="cs"/>
          <w:rtl/>
        </w:rPr>
        <w:t>דודסון, דיסרטציה, נספח, עמ' 76-75.</w:t>
      </w:r>
    </w:p>
  </w:footnote>
  <w:footnote w:id="49">
    <w:p w:rsidR="003B386C" w:rsidRPr="00116782" w:rsidRDefault="003B386C" w:rsidP="00487181">
      <w:pPr>
        <w:pStyle w:val="a3"/>
        <w:spacing w:before="120" w:after="120"/>
        <w:rPr>
          <w:rtl/>
        </w:rPr>
      </w:pPr>
      <w:r w:rsidRPr="00116782">
        <w:rPr>
          <w:rStyle w:val="a5"/>
        </w:rPr>
        <w:footnoteRef/>
      </w:r>
      <w:r w:rsidRPr="00116782">
        <w:rPr>
          <w:rtl/>
        </w:rPr>
        <w:t xml:space="preserve"> </w:t>
      </w:r>
      <w:r w:rsidRPr="00116782">
        <w:rPr>
          <w:rFonts w:hint="cs"/>
          <w:rtl/>
        </w:rPr>
        <w:t>"[...] וכן עוד היום בזמנינו יש מקומות נוהגין כן, לומר בימי הפורים המזמור הזה [=תהלים ז] ומהם המוסתערבים, כי כן תקנו להם הקדמונים שקבלה בידים</w:t>
      </w:r>
      <w:r w:rsidR="00487181">
        <w:rPr>
          <w:rFonts w:hint="cs"/>
          <w:rtl/>
        </w:rPr>
        <w:t xml:space="preserve"> </w:t>
      </w:r>
      <w:r w:rsidRPr="00116782">
        <w:rPr>
          <w:rFonts w:hint="cs"/>
          <w:rtl/>
        </w:rPr>
        <w:t xml:space="preserve">[!] שהמזמור הזה מיירי </w:t>
      </w:r>
      <w:r w:rsidR="00487181">
        <w:rPr>
          <w:rFonts w:hint="cs"/>
          <w:rtl/>
        </w:rPr>
        <w:t xml:space="preserve">[=מדובר] </w:t>
      </w:r>
      <w:r w:rsidRPr="00116782">
        <w:rPr>
          <w:rFonts w:hint="cs"/>
          <w:rtl/>
        </w:rPr>
        <w:t>בנס זה דמרדכי, ואם כן איפה גם אנו נפרש אותו על הנס הזה" (</w:t>
      </w:r>
      <w:r w:rsidR="00487181" w:rsidRPr="001E0689">
        <w:rPr>
          <w:rFonts w:hint="cs"/>
          <w:rtl/>
        </w:rPr>
        <w:t>ר' שמואל די</w:t>
      </w:r>
      <w:r w:rsidR="00487181">
        <w:rPr>
          <w:rFonts w:hint="cs"/>
          <w:rtl/>
        </w:rPr>
        <w:t xml:space="preserve"> אוזידה, ביאור למגלת אסתר [מהדורת ח"א קאופמן]</w:t>
      </w:r>
      <w:r w:rsidR="00487181" w:rsidRPr="001E0689">
        <w:rPr>
          <w:rFonts w:hint="cs"/>
          <w:rtl/>
        </w:rPr>
        <w:t>, ירושלים תשנ"ג</w:t>
      </w:r>
      <w:r w:rsidR="00487181">
        <w:rPr>
          <w:rFonts w:hint="cs"/>
          <w:rtl/>
        </w:rPr>
        <w:t>,</w:t>
      </w:r>
      <w:r w:rsidR="00487181" w:rsidRPr="00116782">
        <w:rPr>
          <w:rtl/>
        </w:rPr>
        <w:t xml:space="preserve"> </w:t>
      </w:r>
      <w:r w:rsidRPr="00116782">
        <w:rPr>
          <w:rtl/>
        </w:rPr>
        <w:t>עמ' רנה</w:t>
      </w:r>
      <w:r w:rsidRPr="00116782">
        <w:rPr>
          <w:rFonts w:hint="cs"/>
          <w:rtl/>
        </w:rPr>
        <w:t>)</w:t>
      </w:r>
      <w:r w:rsidRPr="00116782">
        <w:rPr>
          <w:rtl/>
        </w:rPr>
        <w:t>.</w:t>
      </w:r>
    </w:p>
  </w:footnote>
  <w:footnote w:id="50">
    <w:p w:rsidR="003B386C" w:rsidRPr="00116782" w:rsidRDefault="003B386C" w:rsidP="00487181">
      <w:pPr>
        <w:pStyle w:val="a3"/>
        <w:spacing w:before="120" w:after="120"/>
      </w:pPr>
      <w:r w:rsidRPr="00116782">
        <w:rPr>
          <w:rStyle w:val="a5"/>
        </w:rPr>
        <w:footnoteRef/>
      </w:r>
      <w:r w:rsidRPr="00116782">
        <w:rPr>
          <w:rtl/>
        </w:rPr>
        <w:t xml:space="preserve"> </w:t>
      </w:r>
      <w:r w:rsidR="00487181">
        <w:rPr>
          <w:rtl/>
        </w:rPr>
        <w:t>רא</w:t>
      </w:r>
      <w:r w:rsidR="00487181">
        <w:rPr>
          <w:rFonts w:hint="cs"/>
          <w:rtl/>
        </w:rPr>
        <w:t>ו</w:t>
      </w:r>
      <w:r w:rsidRPr="00116782">
        <w:rPr>
          <w:rtl/>
        </w:rPr>
        <w:t xml:space="preserve">: הקר, גאון ודיכאון, עמ' </w:t>
      </w:r>
      <w:r w:rsidR="00487181">
        <w:rPr>
          <w:rFonts w:hint="cs"/>
          <w:rtl/>
        </w:rPr>
        <w:t>572-569</w:t>
      </w:r>
      <w:r w:rsidRPr="00116782">
        <w:rPr>
          <w:rFonts w:hint="cs"/>
          <w:rtl/>
        </w:rPr>
        <w:t xml:space="preserve">; </w:t>
      </w:r>
      <w:r>
        <w:rPr>
          <w:rFonts w:hint="cs"/>
          <w:rtl/>
        </w:rPr>
        <w:t>פאור הלוי, יחס</w:t>
      </w:r>
      <w:r w:rsidRPr="00116782">
        <w:rPr>
          <w:rFonts w:hint="cs"/>
          <w:rtl/>
        </w:rPr>
        <w:t xml:space="preserve">, עמ' </w:t>
      </w:r>
      <w:r w:rsidR="00487181">
        <w:rPr>
          <w:rFonts w:hint="cs"/>
          <w:rtl/>
        </w:rPr>
        <w:t>325-323.</w:t>
      </w:r>
    </w:p>
  </w:footnote>
  <w:footnote w:id="51">
    <w:p w:rsidR="003B386C" w:rsidRPr="00116782" w:rsidRDefault="003B386C" w:rsidP="0057553B">
      <w:pPr>
        <w:pStyle w:val="a3"/>
        <w:spacing w:before="120" w:after="120"/>
      </w:pPr>
      <w:r w:rsidRPr="00116782">
        <w:rPr>
          <w:rStyle w:val="a5"/>
        </w:rPr>
        <w:footnoteRef/>
      </w:r>
      <w:r w:rsidRPr="00116782">
        <w:rPr>
          <w:rtl/>
        </w:rPr>
        <w:t xml:space="preserve"> </w:t>
      </w:r>
      <w:r w:rsidR="00506D68">
        <w:rPr>
          <w:rFonts w:hint="cs"/>
          <w:rtl/>
        </w:rPr>
        <w:t>ראו:</w:t>
      </w:r>
      <w:r w:rsidRPr="00116782">
        <w:rPr>
          <w:rFonts w:hint="cs"/>
          <w:rtl/>
        </w:rPr>
        <w:t xml:space="preserve"> </w:t>
      </w:r>
      <w:r w:rsidR="0057553B">
        <w:rPr>
          <w:rFonts w:hint="cs"/>
          <w:rtl/>
        </w:rPr>
        <w:t xml:space="preserve">שם, </w:t>
      </w:r>
      <w:r w:rsidR="0057553B" w:rsidRPr="00116782">
        <w:rPr>
          <w:rFonts w:hint="cs"/>
          <w:rtl/>
        </w:rPr>
        <w:t xml:space="preserve">עמ' </w:t>
      </w:r>
      <w:r w:rsidR="0057553B">
        <w:rPr>
          <w:rFonts w:hint="cs"/>
          <w:rtl/>
        </w:rPr>
        <w:t xml:space="preserve">579-568; </w:t>
      </w:r>
      <w:r w:rsidR="00506D68">
        <w:rPr>
          <w:rFonts w:hint="cs"/>
          <w:rtl/>
        </w:rPr>
        <w:t xml:space="preserve">י' הקר, </w:t>
      </w:r>
      <w:r w:rsidR="00506D68" w:rsidRPr="0076306D">
        <w:rPr>
          <w:rFonts w:hint="cs"/>
          <w:rtl/>
        </w:rPr>
        <w:t>"הארגון הקהילתי בקהילות האימפריה העות'מאנית (</w:t>
      </w:r>
      <w:r w:rsidR="00506D68">
        <w:rPr>
          <w:rFonts w:hint="cs"/>
          <w:rtl/>
        </w:rPr>
        <w:t>1676-1453</w:t>
      </w:r>
      <w:r w:rsidR="00506D68" w:rsidRPr="0076306D">
        <w:rPr>
          <w:rFonts w:hint="cs"/>
          <w:rtl/>
        </w:rPr>
        <w:t xml:space="preserve">)", א' גרוסמן וי' קפלן (עורכים), קהל ישראל: השלטון העצמי היהודי לדורותיו, ב: ימי הביניים והעת החדשה המוקדמת, ירושלים תשס"ד, עמ' </w:t>
      </w:r>
      <w:r w:rsidR="00506D68">
        <w:rPr>
          <w:rFonts w:hint="cs"/>
          <w:rtl/>
        </w:rPr>
        <w:t xml:space="preserve">307-306; הנ"ל, </w:t>
      </w:r>
      <w:r w:rsidR="00506D68" w:rsidRPr="0076306D">
        <w:rPr>
          <w:rFonts w:hint="cs"/>
          <w:rtl/>
        </w:rPr>
        <w:t xml:space="preserve">"הזמנה לדו קרב אינטלקטואלי: בין סרס לאדריאנופול", ע' פליישר ואחרים (עורכים), מאה שערים: עיונים בעולמם הרוחני של ישראל בימי הביניים לזכר יצחק טברסקי, ירושלים תשס"א, עמ' </w:t>
      </w:r>
      <w:r w:rsidR="0057553B">
        <w:rPr>
          <w:rFonts w:hint="cs"/>
          <w:rtl/>
        </w:rPr>
        <w:t>359-355.</w:t>
      </w:r>
    </w:p>
  </w:footnote>
  <w:footnote w:id="52">
    <w:p w:rsidR="003B386C" w:rsidRDefault="003B386C" w:rsidP="003B386C">
      <w:pPr>
        <w:pStyle w:val="a3"/>
        <w:spacing w:before="120" w:after="120"/>
      </w:pPr>
      <w:r>
        <w:rPr>
          <w:rStyle w:val="a5"/>
        </w:rPr>
        <w:footnoteRef/>
      </w:r>
      <w:r>
        <w:rPr>
          <w:rtl/>
        </w:rPr>
        <w:t xml:space="preserve"> </w:t>
      </w:r>
      <w:r>
        <w:rPr>
          <w:rFonts w:hint="cs"/>
          <w:rtl/>
        </w:rPr>
        <w:t>וסטרייך, תמורות, עמ' 261.</w:t>
      </w:r>
    </w:p>
  </w:footnote>
  <w:footnote w:id="53">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הקר, גאון ודכאון, עמ' 570.</w:t>
      </w:r>
    </w:p>
  </w:footnote>
  <w:footnote w:id="54">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מבי"ט, ח"ג סי' קפד.</w:t>
      </w:r>
    </w:p>
  </w:footnote>
  <w:footnote w:id="55">
    <w:p w:rsidR="003B386C" w:rsidRPr="00116782" w:rsidRDefault="003B386C" w:rsidP="00242C80">
      <w:pPr>
        <w:pStyle w:val="a3"/>
        <w:spacing w:before="120" w:after="120"/>
        <w:rPr>
          <w:rtl/>
        </w:rPr>
      </w:pPr>
      <w:r w:rsidRPr="00116782">
        <w:rPr>
          <w:rStyle w:val="a5"/>
        </w:rPr>
        <w:footnoteRef/>
      </w:r>
      <w:r w:rsidRPr="00116782">
        <w:rPr>
          <w:rtl/>
        </w:rPr>
        <w:t xml:space="preserve"> </w:t>
      </w:r>
      <w:r w:rsidRPr="00116782">
        <w:rPr>
          <w:rFonts w:hint="cs"/>
          <w:rtl/>
        </w:rPr>
        <w:t>אשכנזי, סי' א. ו</w:t>
      </w:r>
      <w:r w:rsidR="00242C80">
        <w:rPr>
          <w:rFonts w:hint="cs"/>
          <w:rtl/>
        </w:rPr>
        <w:t>השוו: מהרלב"ח, סי' לב; קה. וראו</w:t>
      </w:r>
      <w:r w:rsidRPr="00116782">
        <w:rPr>
          <w:rFonts w:hint="cs"/>
          <w:rtl/>
        </w:rPr>
        <w:t xml:space="preserve">: </w:t>
      </w:r>
      <w:r w:rsidR="00242C80" w:rsidRPr="0076306D">
        <w:rPr>
          <w:rFonts w:hint="cs"/>
          <w:rtl/>
        </w:rPr>
        <w:t xml:space="preserve">ח"ז דימיטרובסקי, "בית מדרשו של רבי יעקב בירב בצפת", ספונות, ז (תשכ"ג), עמ' </w:t>
      </w:r>
      <w:r w:rsidRPr="00116782">
        <w:rPr>
          <w:rFonts w:hint="cs"/>
          <w:rtl/>
        </w:rPr>
        <w:t xml:space="preserve">עמ' נג; סט-עו; </w:t>
      </w:r>
      <w:r w:rsidR="00242C80">
        <w:rPr>
          <w:rFonts w:hint="cs"/>
          <w:rtl/>
        </w:rPr>
        <w:t>י' תא שמע, "</w:t>
      </w:r>
      <w:r w:rsidR="00242C80" w:rsidRPr="0076306D">
        <w:rPr>
          <w:rFonts w:hint="cs"/>
          <w:rtl/>
        </w:rPr>
        <w:t xml:space="preserve">רבי יוסף קארו בין אשכנז לספרד </w:t>
      </w:r>
      <w:r w:rsidR="00242C80" w:rsidRPr="0076306D">
        <w:rPr>
          <w:rtl/>
        </w:rPr>
        <w:t>–</w:t>
      </w:r>
      <w:r w:rsidR="00242C80" w:rsidRPr="0076306D">
        <w:rPr>
          <w:rFonts w:hint="cs"/>
          <w:rtl/>
        </w:rPr>
        <w:t xml:space="preserve"> לחקר התפשטות ספר הזוהר", תרביץ, נט (תש"נ), </w:t>
      </w:r>
      <w:r w:rsidRPr="00116782">
        <w:rPr>
          <w:rFonts w:hint="cs"/>
          <w:rtl/>
        </w:rPr>
        <w:t xml:space="preserve">עמ' </w:t>
      </w:r>
      <w:r w:rsidR="00242C80">
        <w:rPr>
          <w:rFonts w:hint="cs"/>
          <w:rtl/>
        </w:rPr>
        <w:t>158-157.</w:t>
      </w:r>
    </w:p>
  </w:footnote>
  <w:footnote w:id="56">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אבקת רוכל, סי' לב.</w:t>
      </w:r>
    </w:p>
  </w:footnote>
  <w:footnote w:id="57">
    <w:p w:rsidR="003B386C" w:rsidRPr="00116782" w:rsidRDefault="003B386C" w:rsidP="00242C80">
      <w:pPr>
        <w:pStyle w:val="a3"/>
        <w:spacing w:before="120" w:after="120"/>
      </w:pPr>
      <w:r w:rsidRPr="00116782">
        <w:rPr>
          <w:rStyle w:val="a5"/>
        </w:rPr>
        <w:footnoteRef/>
      </w:r>
      <w:r w:rsidRPr="00116782">
        <w:rPr>
          <w:rtl/>
        </w:rPr>
        <w:t xml:space="preserve"> </w:t>
      </w:r>
      <w:r w:rsidRPr="00116782">
        <w:rPr>
          <w:rFonts w:hint="cs"/>
          <w:rtl/>
        </w:rPr>
        <w:t>כגון לגבי יהדות תימן, שקשריה עם רמ</w:t>
      </w:r>
      <w:r w:rsidR="00242C80">
        <w:rPr>
          <w:rFonts w:hint="cs"/>
          <w:rtl/>
        </w:rPr>
        <w:t>ב"ם אינם נוגעים לגירוש ספרד. ראו</w:t>
      </w:r>
      <w:r w:rsidRPr="00116782">
        <w:rPr>
          <w:rFonts w:hint="cs"/>
          <w:rtl/>
        </w:rPr>
        <w:t xml:space="preserve">: י' קאפח, כתבים, ב: משנת הרמב"ם; יהודי תימן, ירושלים תשמ"ט, עמ' </w:t>
      </w:r>
      <w:r w:rsidR="00242C80">
        <w:rPr>
          <w:rFonts w:hint="cs"/>
          <w:rtl/>
        </w:rPr>
        <w:t>681-675.</w:t>
      </w:r>
    </w:p>
  </w:footnote>
  <w:footnote w:id="58">
    <w:p w:rsidR="003B386C" w:rsidRPr="00116782" w:rsidRDefault="003B386C" w:rsidP="00242C80">
      <w:pPr>
        <w:pStyle w:val="a3"/>
        <w:spacing w:before="120" w:after="120"/>
        <w:rPr>
          <w:rtl/>
        </w:rPr>
      </w:pPr>
      <w:r w:rsidRPr="00116782">
        <w:rPr>
          <w:rStyle w:val="a5"/>
        </w:rPr>
        <w:footnoteRef/>
      </w:r>
      <w:r w:rsidRPr="00116782">
        <w:rPr>
          <w:rtl/>
        </w:rPr>
        <w:t xml:space="preserve"> למשל: כסף משנה, תרומות פ"א מי"א. </w:t>
      </w:r>
      <w:r w:rsidR="00242C80">
        <w:rPr>
          <w:rFonts w:hint="cs"/>
          <w:rtl/>
        </w:rPr>
        <w:t xml:space="preserve">וראו: </w:t>
      </w:r>
      <w:r w:rsidR="00242C80" w:rsidRPr="0076306D">
        <w:rPr>
          <w:rFonts w:hint="cs"/>
          <w:rtl/>
        </w:rPr>
        <w:t>א' בן יוסף</w:t>
      </w:r>
      <w:r w:rsidR="00242C80" w:rsidRPr="0076306D">
        <w:rPr>
          <w:rtl/>
        </w:rPr>
        <w:t>, צפת במאה הט"ז על פי השאלות ותשובות של ר' יום טוב צהלון – חיבור לשם קבלת תואר דוקטור, פילדלפיה</w:t>
      </w:r>
      <w:r w:rsidR="00242C80" w:rsidRPr="0076306D">
        <w:rPr>
          <w:rFonts w:hint="cs"/>
          <w:rtl/>
        </w:rPr>
        <w:t xml:space="preserve"> </w:t>
      </w:r>
      <w:r w:rsidR="00242C80" w:rsidRPr="0076306D">
        <w:rPr>
          <w:rtl/>
        </w:rPr>
        <w:t>פנסילבניה 1980</w:t>
      </w:r>
      <w:r w:rsidR="00242C80">
        <w:rPr>
          <w:rFonts w:hint="cs"/>
          <w:rtl/>
        </w:rPr>
        <w:t>, עמ' 159-158.</w:t>
      </w:r>
    </w:p>
  </w:footnote>
  <w:footnote w:id="59">
    <w:p w:rsidR="003B386C" w:rsidRPr="00116782" w:rsidRDefault="003B386C" w:rsidP="00242C80">
      <w:pPr>
        <w:pStyle w:val="a3"/>
        <w:spacing w:before="120" w:after="120"/>
        <w:rPr>
          <w:rtl/>
        </w:rPr>
      </w:pPr>
      <w:r w:rsidRPr="00116782">
        <w:rPr>
          <w:rStyle w:val="a5"/>
        </w:rPr>
        <w:footnoteRef/>
      </w:r>
      <w:r w:rsidRPr="00116782">
        <w:rPr>
          <w:rtl/>
        </w:rPr>
        <w:t xml:space="preserve"> </w:t>
      </w:r>
      <w:r w:rsidRPr="00116782">
        <w:rPr>
          <w:rFonts w:hint="cs"/>
          <w:rtl/>
        </w:rPr>
        <w:t>"וגם אנו נוהגים לפסוק כדברי הר"מבם ז"ל בכל גלילות אלו בארץ ישראל וסורי'</w:t>
      </w:r>
      <w:r w:rsidR="00242C80">
        <w:rPr>
          <w:rFonts w:hint="cs"/>
          <w:rtl/>
        </w:rPr>
        <w:t>[ה]</w:t>
      </w:r>
      <w:r w:rsidRPr="00116782">
        <w:rPr>
          <w:rFonts w:hint="cs"/>
          <w:rtl/>
        </w:rPr>
        <w:t xml:space="preserve"> ומצרים ובבל" (מבי"ט, ח"א סי' כח). אמנם, לדעת י' פרידמן, היה המבי"ט נוקשה פחות בהליכה אחר רמב"ם לעומת ר' יוסף קארו (</w:t>
      </w:r>
      <w:r w:rsidR="00242C80" w:rsidRPr="0076306D">
        <w:rPr>
          <w:rFonts w:hint="cs"/>
          <w:rtl/>
        </w:rPr>
        <w:t>י' פרידמן, "מחלוקת המבי"ט והבית יוסף בעניין פירות הגוי בשביעית ו</w:t>
      </w:r>
      <w:r w:rsidR="00242C80">
        <w:rPr>
          <w:rFonts w:hint="cs"/>
          <w:rtl/>
        </w:rPr>
        <w:t>הפולמוס סביבה", התורה והארץ, ח [תשס"ח]</w:t>
      </w:r>
      <w:r w:rsidR="00242C80" w:rsidRPr="0076306D">
        <w:rPr>
          <w:rFonts w:hint="cs"/>
          <w:rtl/>
        </w:rPr>
        <w:t xml:space="preserve">, עמ' </w:t>
      </w:r>
      <w:r w:rsidR="00242C80">
        <w:rPr>
          <w:rFonts w:hint="cs"/>
          <w:rtl/>
        </w:rPr>
        <w:t>137-118).</w:t>
      </w:r>
    </w:p>
  </w:footnote>
  <w:footnote w:id="60">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"כי הרמב"ם ז"ל הוא מריה דאתרא, וכל גבולותינו נמשכים אחריו" (</w:t>
      </w:r>
      <w:r w:rsidRPr="00116782">
        <w:rPr>
          <w:rtl/>
        </w:rPr>
        <w:t>אלשיך, סי' צ</w:t>
      </w:r>
      <w:r w:rsidRPr="00116782">
        <w:rPr>
          <w:rFonts w:hint="cs"/>
          <w:rtl/>
        </w:rPr>
        <w:t>ה).</w:t>
      </w:r>
    </w:p>
  </w:footnote>
  <w:footnote w:id="61">
    <w:p w:rsidR="003B386C" w:rsidRPr="00116782" w:rsidRDefault="003B386C" w:rsidP="003B386C">
      <w:pPr>
        <w:pStyle w:val="a3"/>
        <w:spacing w:before="120" w:after="120"/>
      </w:pPr>
      <w:r w:rsidRPr="00116782">
        <w:rPr>
          <w:rStyle w:val="a5"/>
        </w:rPr>
        <w:footnoteRef/>
      </w:r>
      <w:r w:rsidRPr="00116782">
        <w:rPr>
          <w:rtl/>
        </w:rPr>
        <w:t xml:space="preserve"> עיבור שנים, דף פב ע"א.</w:t>
      </w:r>
    </w:p>
  </w:footnote>
  <w:footnote w:id="62">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"וגם לס"ת</w:t>
      </w:r>
      <w:r w:rsidR="00586ECB">
        <w:rPr>
          <w:rFonts w:hint="cs"/>
          <w:rtl/>
        </w:rPr>
        <w:t xml:space="preserve"> [=לספר תורה]</w:t>
      </w:r>
      <w:r w:rsidRPr="00116782">
        <w:rPr>
          <w:rFonts w:hint="cs"/>
          <w:rtl/>
        </w:rPr>
        <w:t>, אין מנהגינו לקרות לשום אדם לס"ת כי אם בשמו וכנויו, וכן בחתימה חותם שמו בכינוייו, לא כאשכנזי'</w:t>
      </w:r>
      <w:r w:rsidR="00586ECB">
        <w:rPr>
          <w:rFonts w:hint="cs"/>
          <w:rtl/>
        </w:rPr>
        <w:t>[ם]</w:t>
      </w:r>
      <w:r w:rsidRPr="00116782">
        <w:rPr>
          <w:rFonts w:hint="cs"/>
          <w:rtl/>
        </w:rPr>
        <w:t xml:space="preserve"> שחותמים שם אביהם, וקורין אותם לס"ת ג"כ בשם אביהם" (מבי"ט, ח"ב סי' נב).</w:t>
      </w:r>
    </w:p>
  </w:footnote>
  <w:footnote w:id="63">
    <w:p w:rsidR="003B386C" w:rsidRPr="00116782" w:rsidRDefault="003B386C" w:rsidP="003B386C">
      <w:pPr>
        <w:pStyle w:val="a3"/>
        <w:spacing w:before="120" w:after="120"/>
      </w:pPr>
      <w:r w:rsidRPr="00116782">
        <w:rPr>
          <w:rStyle w:val="a5"/>
        </w:rPr>
        <w:footnoteRef/>
      </w:r>
      <w:r w:rsidRPr="00116782">
        <w:rPr>
          <w:rtl/>
        </w:rPr>
        <w:t xml:space="preserve"> </w:t>
      </w:r>
      <w:r>
        <w:rPr>
          <w:rtl/>
        </w:rPr>
        <w:t>בניהו, הנהגות האר"י</w:t>
      </w:r>
      <w:r w:rsidRPr="00116782">
        <w:rPr>
          <w:rtl/>
        </w:rPr>
        <w:t>, עמ' 326.</w:t>
      </w:r>
    </w:p>
  </w:footnote>
  <w:footnote w:id="64">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שם</w:t>
      </w:r>
      <w:r w:rsidRPr="00116782">
        <w:rPr>
          <w:rtl/>
        </w:rPr>
        <w:t xml:space="preserve">, </w:t>
      </w:r>
      <w:r>
        <w:rPr>
          <w:rFonts w:hint="cs"/>
          <w:rtl/>
        </w:rPr>
        <w:t>שם</w:t>
      </w:r>
      <w:r w:rsidRPr="00116782">
        <w:rPr>
          <w:rtl/>
        </w:rPr>
        <w:t>. חכם צפתי, כנראה מחוגו של האר"י, דווקא שיבח נוסח זה</w:t>
      </w:r>
      <w:r w:rsidRPr="00116782">
        <w:rPr>
          <w:rFonts w:hint="cs"/>
          <w:rtl/>
        </w:rPr>
        <w:t xml:space="preserve"> (שם</w:t>
      </w:r>
      <w:r w:rsidRPr="00116782">
        <w:rPr>
          <w:rtl/>
        </w:rPr>
        <w:t>, עמ' 349</w:t>
      </w:r>
      <w:r w:rsidRPr="00116782">
        <w:rPr>
          <w:rFonts w:hint="cs"/>
          <w:rtl/>
        </w:rPr>
        <w:t>)</w:t>
      </w:r>
      <w:r w:rsidRPr="00116782">
        <w:rPr>
          <w:rtl/>
        </w:rPr>
        <w:t>.</w:t>
      </w:r>
    </w:p>
  </w:footnote>
  <w:footnote w:id="65">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שם</w:t>
      </w:r>
      <w:r w:rsidRPr="00116782">
        <w:rPr>
          <w:rtl/>
        </w:rPr>
        <w:t xml:space="preserve">, </w:t>
      </w:r>
      <w:r>
        <w:rPr>
          <w:rFonts w:hint="cs"/>
          <w:rtl/>
        </w:rPr>
        <w:t>שם.</w:t>
      </w:r>
    </w:p>
  </w:footnote>
  <w:footnote w:id="66">
    <w:p w:rsidR="003B386C" w:rsidRPr="00116782" w:rsidRDefault="003B386C" w:rsidP="003B386C">
      <w:pPr>
        <w:pStyle w:val="a3"/>
        <w:spacing w:before="120" w:after="120"/>
      </w:pPr>
      <w:r w:rsidRPr="00116782">
        <w:rPr>
          <w:rStyle w:val="a5"/>
        </w:rPr>
        <w:footnoteRef/>
      </w:r>
      <w:r w:rsidRPr="00116782">
        <w:rPr>
          <w:rtl/>
        </w:rPr>
        <w:t xml:space="preserve"> </w:t>
      </w:r>
      <w:r>
        <w:rPr>
          <w:rFonts w:hint="cs"/>
          <w:rtl/>
        </w:rPr>
        <w:t>בניהו, תולדות האר"י</w:t>
      </w:r>
      <w:r w:rsidRPr="00116782">
        <w:rPr>
          <w:rtl/>
        </w:rPr>
        <w:t>, עמ' 37.</w:t>
      </w:r>
    </w:p>
  </w:footnote>
  <w:footnote w:id="67">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 xml:space="preserve">ר' משה ניגרין, </w:t>
      </w:r>
      <w:r w:rsidRPr="00116782">
        <w:rPr>
          <w:rtl/>
        </w:rPr>
        <w:t>תוספות וביאורים לספר היראה לר' יונה מגירונדי, בתוך: ר' יונה גירונדי, שלשה ספרים, קראקא שע"ב</w:t>
      </w:r>
      <w:r w:rsidRPr="00116782">
        <w:rPr>
          <w:rFonts w:hint="cs"/>
          <w:rtl/>
        </w:rPr>
        <w:t>, דף [16ב].</w:t>
      </w:r>
    </w:p>
  </w:footnote>
  <w:footnote w:id="68">
    <w:p w:rsidR="003B386C" w:rsidRPr="00116782" w:rsidRDefault="003B386C" w:rsidP="003B386C">
      <w:pPr>
        <w:pStyle w:val="a3"/>
        <w:spacing w:before="120" w:after="120"/>
        <w:rPr>
          <w:rtl/>
        </w:rPr>
      </w:pPr>
      <w:r w:rsidRPr="00116782">
        <w:rPr>
          <w:rStyle w:val="a5"/>
        </w:rPr>
        <w:footnoteRef/>
      </w:r>
      <w:r w:rsidRPr="00116782">
        <w:rPr>
          <w:rtl/>
        </w:rPr>
        <w:t xml:space="preserve"> אלשיך, סי' צו.</w:t>
      </w:r>
    </w:p>
  </w:footnote>
  <w:footnote w:id="69">
    <w:p w:rsidR="003B386C" w:rsidRPr="00116782" w:rsidRDefault="003B386C" w:rsidP="003B386C">
      <w:pPr>
        <w:pStyle w:val="a3"/>
        <w:spacing w:before="120" w:after="120"/>
      </w:pPr>
      <w:r w:rsidRPr="00116782">
        <w:rPr>
          <w:rStyle w:val="a5"/>
        </w:rPr>
        <w:footnoteRef/>
      </w:r>
      <w:r w:rsidRPr="00116782">
        <w:rPr>
          <w:rtl/>
        </w:rPr>
        <w:t xml:space="preserve"> עיבור שנים, דף כג ע"ב</w:t>
      </w:r>
      <w:r w:rsidR="00586ECB">
        <w:rPr>
          <w:rFonts w:hint="cs"/>
          <w:rtl/>
        </w:rPr>
        <w:t>. והשוו</w:t>
      </w:r>
      <w:r w:rsidRPr="00116782">
        <w:rPr>
          <w:rFonts w:hint="cs"/>
          <w:rtl/>
        </w:rPr>
        <w:t>: שם, דף</w:t>
      </w:r>
      <w:r w:rsidRPr="00116782">
        <w:rPr>
          <w:rtl/>
        </w:rPr>
        <w:t xml:space="preserve"> כד ע"א</w:t>
      </w:r>
      <w:r w:rsidRPr="00116782">
        <w:rPr>
          <w:rFonts w:hint="cs"/>
          <w:rtl/>
        </w:rPr>
        <w:t>.</w:t>
      </w:r>
    </w:p>
  </w:footnote>
  <w:footnote w:id="70">
    <w:p w:rsidR="003B386C" w:rsidRPr="00766594" w:rsidRDefault="003B386C" w:rsidP="00586ECB">
      <w:pPr>
        <w:pStyle w:val="a3"/>
        <w:spacing w:before="120" w:after="120"/>
        <w:rPr>
          <w:rtl/>
        </w:rPr>
      </w:pPr>
      <w:r w:rsidRPr="00116782">
        <w:rPr>
          <w:rStyle w:val="a5"/>
        </w:rPr>
        <w:footnoteRef/>
      </w:r>
      <w:r w:rsidRPr="00116782">
        <w:rPr>
          <w:rtl/>
        </w:rPr>
        <w:t xml:space="preserve"> מהרלב</w:t>
      </w:r>
      <w:r w:rsidRPr="00766594">
        <w:rPr>
          <w:rtl/>
        </w:rPr>
        <w:t xml:space="preserve">"ח, סי' מט. </w:t>
      </w:r>
    </w:p>
  </w:footnote>
  <w:footnote w:id="71">
    <w:p w:rsidR="007017A9" w:rsidRDefault="007017A9">
      <w:pPr>
        <w:pStyle w:val="a3"/>
        <w:rPr>
          <w:rFonts w:hint="cs"/>
        </w:rPr>
      </w:pPr>
      <w:r>
        <w:rPr>
          <w:rStyle w:val="a5"/>
        </w:rPr>
        <w:footnoteRef/>
      </w:r>
      <w:r>
        <w:rPr>
          <w:rtl/>
        </w:rPr>
        <w:t xml:space="preserve"> </w:t>
      </w:r>
      <w:r>
        <w:rPr>
          <w:rFonts w:hint="cs"/>
          <w:rtl/>
        </w:rPr>
        <w:t>ראו: דותן, דיסרטציה, עמ'</w:t>
      </w:r>
      <w:r>
        <w:rPr>
          <w:rFonts w:hint="cs"/>
          <w:rtl/>
        </w:rPr>
        <w:t xml:space="preserve"> 153-123.</w:t>
      </w:r>
      <w:bookmarkStart w:id="0" w:name="_GoBack"/>
      <w:bookmarkEnd w:id="0"/>
    </w:p>
  </w:footnote>
  <w:footnote w:id="72">
    <w:p w:rsidR="003B386C" w:rsidRPr="00116782" w:rsidRDefault="003B386C" w:rsidP="002637C8">
      <w:pPr>
        <w:pStyle w:val="a3"/>
        <w:spacing w:before="120" w:after="120"/>
      </w:pPr>
      <w:r w:rsidRPr="00116782">
        <w:rPr>
          <w:rStyle w:val="a5"/>
        </w:rPr>
        <w:footnoteRef/>
      </w:r>
      <w:r w:rsidRPr="00116782">
        <w:rPr>
          <w:rtl/>
        </w:rPr>
        <w:t xml:space="preserve"> </w:t>
      </w:r>
      <w:r w:rsidR="002637C8">
        <w:rPr>
          <w:rFonts w:hint="cs"/>
          <w:rtl/>
        </w:rPr>
        <w:t xml:space="preserve">א' </w:t>
      </w:r>
      <w:r>
        <w:rPr>
          <w:rtl/>
        </w:rPr>
        <w:t xml:space="preserve">יערי, </w:t>
      </w:r>
      <w:r w:rsidR="002637C8" w:rsidRPr="001E0689">
        <w:rPr>
          <w:rFonts w:hint="cs"/>
          <w:rtl/>
        </w:rPr>
        <w:t xml:space="preserve">אגרות ארץ ישראל, רמת גן 1971, עמ' </w:t>
      </w:r>
      <w:r w:rsidR="002637C8">
        <w:rPr>
          <w:rFonts w:hint="cs"/>
          <w:rtl/>
        </w:rPr>
        <w:t>169.</w:t>
      </w:r>
    </w:p>
  </w:footnote>
  <w:footnote w:id="73">
    <w:p w:rsidR="003B386C" w:rsidRPr="00116782" w:rsidRDefault="003B386C" w:rsidP="002637C8">
      <w:pPr>
        <w:pStyle w:val="a3"/>
        <w:spacing w:before="120" w:after="120"/>
        <w:rPr>
          <w:rtl/>
        </w:rPr>
      </w:pPr>
      <w:r w:rsidRPr="00116782">
        <w:rPr>
          <w:rStyle w:val="a5"/>
        </w:rPr>
        <w:footnoteRef/>
      </w:r>
      <w:r w:rsidRPr="00116782">
        <w:rPr>
          <w:rtl/>
        </w:rPr>
        <w:t xml:space="preserve"> </w:t>
      </w:r>
      <w:r w:rsidR="002637C8">
        <w:rPr>
          <w:rFonts w:hint="cs"/>
          <w:rtl/>
        </w:rPr>
        <w:t>ראו:</w:t>
      </w:r>
      <w:r w:rsidRPr="00116782">
        <w:rPr>
          <w:rFonts w:hint="cs"/>
          <w:rtl/>
        </w:rPr>
        <w:t xml:space="preserve"> רוזן, המוסתערבים, עמ' 82; </w:t>
      </w:r>
      <w:r w:rsidRPr="00116782">
        <w:rPr>
          <w:rtl/>
        </w:rPr>
        <w:t xml:space="preserve">למדן, יחסים, עמ' </w:t>
      </w:r>
      <w:r w:rsidR="002637C8">
        <w:rPr>
          <w:rFonts w:hint="cs"/>
          <w:rtl/>
        </w:rPr>
        <w:t>83-75.</w:t>
      </w:r>
    </w:p>
  </w:footnote>
  <w:footnote w:id="74">
    <w:p w:rsidR="003B386C" w:rsidRPr="00116782" w:rsidRDefault="003B386C" w:rsidP="002637C8">
      <w:pPr>
        <w:pStyle w:val="a3"/>
        <w:spacing w:before="120" w:after="120"/>
      </w:pPr>
      <w:r w:rsidRPr="00116782">
        <w:rPr>
          <w:rStyle w:val="a5"/>
        </w:rPr>
        <w:footnoteRef/>
      </w:r>
      <w:r w:rsidRPr="00116782">
        <w:rPr>
          <w:rtl/>
        </w:rPr>
        <w:t xml:space="preserve"> </w:t>
      </w:r>
      <w:r w:rsidRPr="00116782">
        <w:rPr>
          <w:rFonts w:hint="cs"/>
          <w:rtl/>
        </w:rPr>
        <w:t>רדב"ז, ח"ד סי' צד; מהרלב"ח, סי' טו; שו"ע, או"ח סי' קכד, א; ג; מבי"ט, ח"ג סי' קצ</w:t>
      </w:r>
      <w:r w:rsidR="002637C8">
        <w:rPr>
          <w:rFonts w:hint="cs"/>
          <w:rtl/>
        </w:rPr>
        <w:t>. וראו</w:t>
      </w:r>
      <w:r w:rsidRPr="00116782">
        <w:rPr>
          <w:rFonts w:hint="cs"/>
          <w:rtl/>
        </w:rPr>
        <w:t xml:space="preserve">: ליטמן, חזרת הש"ץ, עמ' </w:t>
      </w:r>
      <w:r w:rsidR="002637C8">
        <w:rPr>
          <w:rFonts w:hint="cs"/>
          <w:rtl/>
        </w:rPr>
        <w:t>92-81.</w:t>
      </w:r>
    </w:p>
  </w:footnote>
  <w:footnote w:id="75">
    <w:p w:rsidR="003B386C" w:rsidRPr="00116782" w:rsidRDefault="003B386C" w:rsidP="003B386C">
      <w:pPr>
        <w:pStyle w:val="a3"/>
        <w:spacing w:before="120" w:after="120"/>
      </w:pPr>
      <w:r w:rsidRPr="00116782">
        <w:rPr>
          <w:rStyle w:val="a5"/>
        </w:rPr>
        <w:footnoteRef/>
      </w:r>
      <w:r w:rsidRPr="00116782">
        <w:rPr>
          <w:rtl/>
        </w:rPr>
        <w:t xml:space="preserve"> עיבור שנים, דף פב ע"א.</w:t>
      </w:r>
    </w:p>
  </w:footnote>
  <w:footnote w:id="76">
    <w:p w:rsidR="003B386C" w:rsidRPr="00116782" w:rsidRDefault="003B386C" w:rsidP="003B386C">
      <w:pPr>
        <w:pStyle w:val="a3"/>
        <w:spacing w:before="120" w:after="120"/>
        <w:rPr>
          <w:rtl/>
        </w:rPr>
      </w:pPr>
      <w:r w:rsidRPr="00116782">
        <w:rPr>
          <w:rStyle w:val="a5"/>
        </w:rPr>
        <w:footnoteRef/>
      </w:r>
      <w:r w:rsidRPr="00116782">
        <w:rPr>
          <w:rtl/>
        </w:rPr>
        <w:t xml:space="preserve"> אשכנזי, סי' ב, דף טז ע"א-ע"ב.</w:t>
      </w:r>
    </w:p>
  </w:footnote>
  <w:footnote w:id="77">
    <w:p w:rsidR="003B386C" w:rsidRPr="00116782" w:rsidRDefault="003B386C" w:rsidP="002637C8">
      <w:pPr>
        <w:pStyle w:val="a3"/>
        <w:spacing w:before="120" w:after="120"/>
      </w:pPr>
      <w:r w:rsidRPr="00116782">
        <w:rPr>
          <w:rStyle w:val="a5"/>
        </w:rPr>
        <w:footnoteRef/>
      </w:r>
      <w:r w:rsidRPr="00116782">
        <w:rPr>
          <w:rtl/>
        </w:rPr>
        <w:t xml:space="preserve"> י' ברסלבסקי, "הישוב החקלאי בא"י במאה הט"ז ושאלת קדמותו", קבץ החברה לחקירת א"י ועתיקותיה, ב (תרצ"ה), עמ' </w:t>
      </w:r>
      <w:r w:rsidR="002637C8">
        <w:rPr>
          <w:rFonts w:hint="cs"/>
          <w:rtl/>
        </w:rPr>
        <w:t xml:space="preserve">297-294. </w:t>
      </w:r>
      <w:r w:rsidR="002637C8">
        <w:rPr>
          <w:rtl/>
        </w:rPr>
        <w:t>ורא</w:t>
      </w:r>
      <w:r w:rsidR="002637C8">
        <w:rPr>
          <w:rFonts w:hint="cs"/>
          <w:rtl/>
        </w:rPr>
        <w:t>ו</w:t>
      </w:r>
      <w:r w:rsidRPr="00116782">
        <w:rPr>
          <w:rtl/>
        </w:rPr>
        <w:t xml:space="preserve">: </w:t>
      </w:r>
      <w:r w:rsidR="002637C8" w:rsidRPr="0076306D">
        <w:rPr>
          <w:rFonts w:hint="cs"/>
          <w:rtl/>
        </w:rPr>
        <w:t xml:space="preserve">כ' הורוביץ, "הערות ליחס המבי"ט אל </w:t>
      </w:r>
      <w:r w:rsidR="002637C8">
        <w:rPr>
          <w:rFonts w:hint="cs"/>
          <w:rtl/>
        </w:rPr>
        <w:t>חסידי צפת", שלם, ה (תשמ"ז), ע</w:t>
      </w:r>
      <w:r w:rsidRPr="00116782">
        <w:rPr>
          <w:rtl/>
        </w:rPr>
        <w:t xml:space="preserve">מ' </w:t>
      </w:r>
      <w:r w:rsidR="002637C8">
        <w:rPr>
          <w:rFonts w:hint="cs"/>
          <w:rtl/>
        </w:rPr>
        <w:t>281-278.</w:t>
      </w:r>
    </w:p>
  </w:footnote>
  <w:footnote w:id="78">
    <w:p w:rsidR="003B386C" w:rsidRDefault="003B386C" w:rsidP="002637C8">
      <w:pPr>
        <w:pStyle w:val="a3"/>
        <w:spacing w:before="120" w:after="120"/>
        <w:rPr>
          <w:rtl/>
        </w:rPr>
      </w:pPr>
      <w:r>
        <w:rPr>
          <w:rStyle w:val="a5"/>
        </w:rPr>
        <w:footnoteRef/>
      </w:r>
      <w:r>
        <w:rPr>
          <w:rtl/>
        </w:rPr>
        <w:t xml:space="preserve"> </w:t>
      </w:r>
      <w:r w:rsidR="002637C8">
        <w:rPr>
          <w:rFonts w:hint="cs"/>
          <w:rtl/>
        </w:rPr>
        <w:t xml:space="preserve">י' </w:t>
      </w:r>
      <w:r>
        <w:rPr>
          <w:rFonts w:hint="cs"/>
          <w:rtl/>
        </w:rPr>
        <w:t xml:space="preserve">הקר, </w:t>
      </w:r>
      <w:r w:rsidR="002637C8" w:rsidRPr="0076306D">
        <w:rPr>
          <w:rFonts w:hint="cs"/>
          <w:rtl/>
        </w:rPr>
        <w:t xml:space="preserve">"לדמותם הרוחנית של יהודי ספרד בסוף המאה החמש עשרה", ספונות </w:t>
      </w:r>
      <w:r w:rsidR="002637C8" w:rsidRPr="0076306D">
        <w:rPr>
          <w:rtl/>
        </w:rPr>
        <w:t>–</w:t>
      </w:r>
      <w:r w:rsidR="002637C8">
        <w:rPr>
          <w:rFonts w:hint="cs"/>
          <w:rtl/>
        </w:rPr>
        <w:t xml:space="preserve"> סדרה חדשה, ב (יז) (תשמ"ג), </w:t>
      </w:r>
      <w:r>
        <w:rPr>
          <w:rFonts w:hint="cs"/>
          <w:rtl/>
        </w:rPr>
        <w:t>עמ' 43.</w:t>
      </w:r>
    </w:p>
  </w:footnote>
  <w:footnote w:id="79">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עיבור שנים, דף סא ע"א.</w:t>
      </w:r>
    </w:p>
  </w:footnote>
  <w:footnote w:id="80">
    <w:p w:rsidR="003B386C" w:rsidRPr="00116782" w:rsidRDefault="003B386C" w:rsidP="000F3B63">
      <w:pPr>
        <w:pStyle w:val="a3"/>
        <w:spacing w:before="120" w:after="120"/>
      </w:pPr>
      <w:r w:rsidRPr="00116782">
        <w:rPr>
          <w:rStyle w:val="a5"/>
        </w:rPr>
        <w:footnoteRef/>
      </w:r>
      <w:r w:rsidRPr="00116782">
        <w:rPr>
          <w:rtl/>
        </w:rPr>
        <w:t xml:space="preserve"> </w:t>
      </w:r>
      <w:r w:rsidRPr="00116782">
        <w:rPr>
          <w:rFonts w:hint="cs"/>
          <w:rtl/>
        </w:rPr>
        <w:t>השוו</w:t>
      </w:r>
      <w:r>
        <w:rPr>
          <w:rFonts w:hint="cs"/>
          <w:rtl/>
        </w:rPr>
        <w:t>, לדוגמה: ש</w:t>
      </w:r>
      <w:r w:rsidRPr="00116782">
        <w:rPr>
          <w:rFonts w:hint="cs"/>
          <w:rtl/>
        </w:rPr>
        <w:t>ם, דף נט ע"ב; סט ע"א, וכמותם רבים.</w:t>
      </w:r>
      <w:r w:rsidR="000F3B63">
        <w:rPr>
          <w:rFonts w:hint="cs"/>
          <w:rtl/>
        </w:rPr>
        <w:t xml:space="preserve"> בקהילות צפון אפריקה במאה הט"ז </w:t>
      </w:r>
      <w:r w:rsidRPr="00116782">
        <w:rPr>
          <w:rFonts w:hint="cs"/>
          <w:rtl/>
        </w:rPr>
        <w:t>יוחס מושג זה לוותיקים, יחסית למגורשי ספרד (</w:t>
      </w:r>
      <w:r w:rsidR="000F3B63" w:rsidRPr="0076306D">
        <w:rPr>
          <w:rFonts w:hint="cs"/>
          <w:rtl/>
        </w:rPr>
        <w:t>ח' בנטוב, "קהל התושבים בפאס מן המא</w:t>
      </w:r>
      <w:r w:rsidR="000F3B63">
        <w:rPr>
          <w:rFonts w:hint="cs"/>
          <w:rtl/>
        </w:rPr>
        <w:t>ה הט"ז ואילך", ממזרח וממערב, ה [תשמ"ו]</w:t>
      </w:r>
      <w:r w:rsidR="000F3B63" w:rsidRPr="0076306D">
        <w:rPr>
          <w:rFonts w:hint="cs"/>
          <w:rtl/>
        </w:rPr>
        <w:t xml:space="preserve">, </w:t>
      </w:r>
      <w:r w:rsidRPr="00116782">
        <w:rPr>
          <w:rFonts w:hint="cs"/>
          <w:rtl/>
        </w:rPr>
        <w:t xml:space="preserve">עמ' </w:t>
      </w:r>
      <w:r w:rsidR="000F3B63">
        <w:rPr>
          <w:rFonts w:hint="cs"/>
          <w:rtl/>
        </w:rPr>
        <w:t>85-83</w:t>
      </w:r>
      <w:r w:rsidRPr="00116782">
        <w:rPr>
          <w:rFonts w:hint="cs"/>
          <w:rtl/>
        </w:rPr>
        <w:t>).</w:t>
      </w:r>
    </w:p>
  </w:footnote>
  <w:footnote w:id="81">
    <w:p w:rsidR="003B386C" w:rsidRPr="00116782" w:rsidRDefault="003B386C" w:rsidP="000F3B63">
      <w:pPr>
        <w:pStyle w:val="a3"/>
        <w:spacing w:before="120" w:after="120"/>
      </w:pPr>
      <w:r w:rsidRPr="00116782">
        <w:rPr>
          <w:rStyle w:val="a5"/>
        </w:rPr>
        <w:footnoteRef/>
      </w:r>
      <w:r w:rsidRPr="00116782">
        <w:rPr>
          <w:rtl/>
        </w:rPr>
        <w:t xml:space="preserve"> </w:t>
      </w:r>
      <w:r w:rsidRPr="00116782">
        <w:rPr>
          <w:rFonts w:hint="cs"/>
          <w:rtl/>
        </w:rPr>
        <w:t>יחסים קרובים בין קהלי המערבים והמוסתערבים במאה הט"ז מוכרים גם בקהיר, וגם שם הם כללו תפילה משותפת באותו בית כנסת, אלא ששם התפילות המשות</w:t>
      </w:r>
      <w:r w:rsidR="000F3B63">
        <w:rPr>
          <w:rFonts w:hint="cs"/>
          <w:rtl/>
        </w:rPr>
        <w:t>פות עמדו במוקד סכסוך ביניהם. ראו</w:t>
      </w:r>
      <w:r w:rsidRPr="00116782">
        <w:rPr>
          <w:rFonts w:hint="cs"/>
          <w:rtl/>
        </w:rPr>
        <w:t xml:space="preserve">: </w:t>
      </w:r>
      <w:r w:rsidR="000F3B63" w:rsidRPr="0076306D">
        <w:rPr>
          <w:rFonts w:hint="cs"/>
          <w:rtl/>
        </w:rPr>
        <w:t>ש' שטובר, "מבית הדין היהודי אל בית הדין השרעי: הסכסוך בין המסתערבים והמגרבים בקהיר במאה השש עשרה", ב' אברהמוב (עורך), מחקרים בערבית ובתרבות האסלאם</w:t>
      </w:r>
      <w:r w:rsidR="000F3B63">
        <w:rPr>
          <w:rFonts w:hint="cs"/>
          <w:rtl/>
        </w:rPr>
        <w:t xml:space="preserve">, 1, תל אביב תשס"א, </w:t>
      </w:r>
      <w:r w:rsidRPr="00116782">
        <w:rPr>
          <w:rFonts w:hint="cs"/>
          <w:rtl/>
        </w:rPr>
        <w:t>עמ' 114.</w:t>
      </w:r>
    </w:p>
  </w:footnote>
  <w:footnote w:id="82">
    <w:p w:rsidR="003B386C" w:rsidRPr="00116782" w:rsidRDefault="003B386C" w:rsidP="003B386C">
      <w:pPr>
        <w:pStyle w:val="a3"/>
        <w:spacing w:before="120" w:after="120"/>
        <w:rPr>
          <w:rtl/>
        </w:rPr>
      </w:pPr>
      <w:r w:rsidRPr="00116782">
        <w:rPr>
          <w:rStyle w:val="a5"/>
        </w:rPr>
        <w:footnoteRef/>
      </w:r>
      <w:r w:rsidRPr="00116782">
        <w:rPr>
          <w:rtl/>
        </w:rPr>
        <w:t xml:space="preserve"> </w:t>
      </w:r>
      <w:r w:rsidRPr="00116782">
        <w:rPr>
          <w:rFonts w:hint="cs"/>
          <w:rtl/>
        </w:rPr>
        <w:t>לפי עדות משנת 1522 היו לקהלים אלה בתי כנסת נפרדים (</w:t>
      </w:r>
      <w:r>
        <w:rPr>
          <w:rFonts w:hint="cs"/>
          <w:rtl/>
        </w:rPr>
        <w:t>באסולה</w:t>
      </w:r>
      <w:r w:rsidRPr="00116782">
        <w:rPr>
          <w:rFonts w:hint="cs"/>
          <w:rtl/>
        </w:rPr>
        <w:t>, עמ' 138).</w:t>
      </w:r>
    </w:p>
  </w:footnote>
  <w:footnote w:id="83">
    <w:p w:rsidR="003B386C" w:rsidRPr="00116782" w:rsidRDefault="003B386C" w:rsidP="000F3B63">
      <w:pPr>
        <w:pStyle w:val="a3"/>
        <w:spacing w:before="120" w:after="120"/>
      </w:pPr>
      <w:r w:rsidRPr="00116782">
        <w:rPr>
          <w:rStyle w:val="a5"/>
        </w:rPr>
        <w:footnoteRef/>
      </w:r>
      <w:r w:rsidRPr="00116782">
        <w:rPr>
          <w:rtl/>
        </w:rPr>
        <w:t xml:space="preserve"> </w:t>
      </w:r>
      <w:r w:rsidRPr="00116782">
        <w:rPr>
          <w:rFonts w:hint="cs"/>
          <w:rtl/>
        </w:rPr>
        <w:t>והשוו: "והמוסתערבים יצ"ו תושבי צפת שבגליל העליון תוב"ב, וכן אנו קהל המערביים יצ"ו אשר שם נוהגין כמותם" (</w:t>
      </w:r>
      <w:r w:rsidRPr="00116782">
        <w:rPr>
          <w:rtl/>
        </w:rPr>
        <w:t>עיבור שנים, דף ע ע"א</w:t>
      </w:r>
      <w:r w:rsidRPr="00116782">
        <w:rPr>
          <w:rFonts w:hint="cs"/>
          <w:rtl/>
        </w:rPr>
        <w:t>)</w:t>
      </w:r>
      <w:r w:rsidRPr="00116782">
        <w:rPr>
          <w:rtl/>
        </w:rPr>
        <w:t>.</w:t>
      </w:r>
    </w:p>
  </w:footnote>
  <w:footnote w:id="84">
    <w:p w:rsidR="003B386C" w:rsidRPr="00116782" w:rsidRDefault="003B386C" w:rsidP="003B386C">
      <w:pPr>
        <w:pStyle w:val="a3"/>
        <w:spacing w:before="120" w:after="120"/>
      </w:pPr>
      <w:r w:rsidRPr="00116782">
        <w:rPr>
          <w:rStyle w:val="a5"/>
        </w:rPr>
        <w:footnoteRef/>
      </w:r>
      <w:r w:rsidRPr="00116782">
        <w:rPr>
          <w:rtl/>
        </w:rPr>
        <w:t xml:space="preserve"> </w:t>
      </w:r>
      <w:r w:rsidR="000F3B63">
        <w:rPr>
          <w:rFonts w:hint="cs"/>
          <w:rtl/>
        </w:rPr>
        <w:t>ראו</w:t>
      </w:r>
      <w:r w:rsidRPr="00116782">
        <w:rPr>
          <w:rFonts w:hint="cs"/>
          <w:rtl/>
        </w:rPr>
        <w:t>: הקר, גאון ודכאון, עמ' 574.</w:t>
      </w:r>
    </w:p>
  </w:footnote>
  <w:footnote w:id="85">
    <w:p w:rsidR="003B386C" w:rsidRPr="00116782" w:rsidRDefault="003B386C" w:rsidP="003B386C">
      <w:pPr>
        <w:pStyle w:val="a3"/>
        <w:spacing w:before="120" w:after="120"/>
      </w:pPr>
      <w:r w:rsidRPr="00116782">
        <w:rPr>
          <w:rStyle w:val="a5"/>
        </w:rPr>
        <w:footnoteRef/>
      </w:r>
      <w:r w:rsidRPr="00116782">
        <w:rPr>
          <w:rtl/>
        </w:rPr>
        <w:t xml:space="preserve"> </w:t>
      </w:r>
      <w:r w:rsidRPr="00116782">
        <w:rPr>
          <w:rFonts w:hint="cs"/>
          <w:rtl/>
        </w:rPr>
        <w:t>לדוגמה: המערבים אימצו את מנהג הספרדים בעניין הפטרת 'שבת שובה', כשם שנהגו גם המוסתערבים (</w:t>
      </w:r>
      <w:r w:rsidRPr="00116782">
        <w:rPr>
          <w:rtl/>
        </w:rPr>
        <w:t>עיבור שנים, דף פב ע"א</w:t>
      </w:r>
      <w:r w:rsidRPr="00116782">
        <w:rPr>
          <w:rFonts w:hint="cs"/>
          <w:rtl/>
        </w:rPr>
        <w:t>)</w:t>
      </w:r>
      <w:r w:rsidRPr="00116782">
        <w:rPr>
          <w:rtl/>
        </w:rPr>
        <w:t>.</w:t>
      </w:r>
    </w:p>
  </w:footnote>
  <w:footnote w:id="86">
    <w:p w:rsidR="003B386C" w:rsidRPr="00116782" w:rsidRDefault="003B386C" w:rsidP="000F3B63">
      <w:pPr>
        <w:pStyle w:val="a3"/>
        <w:spacing w:before="120" w:after="120"/>
        <w:rPr>
          <w:rtl/>
        </w:rPr>
      </w:pPr>
      <w:r w:rsidRPr="00116782">
        <w:rPr>
          <w:rStyle w:val="a5"/>
        </w:rPr>
        <w:footnoteRef/>
      </w:r>
      <w:r w:rsidRPr="00116782">
        <w:rPr>
          <w:rtl/>
        </w:rPr>
        <w:t xml:space="preserve"> </w:t>
      </w:r>
      <w:r w:rsidRPr="00116782">
        <w:rPr>
          <w:rFonts w:hint="cs"/>
          <w:rtl/>
        </w:rPr>
        <w:t>שם, דף לב ע"ב.</w:t>
      </w:r>
      <w:r w:rsidR="000F3B63">
        <w:rPr>
          <w:rFonts w:hint="cs"/>
          <w:rtl/>
        </w:rPr>
        <w:t xml:space="preserve"> וראו</w:t>
      </w:r>
      <w:r w:rsidRPr="00116782">
        <w:rPr>
          <w:rFonts w:hint="cs"/>
          <w:rtl/>
        </w:rPr>
        <w:t xml:space="preserve">: הקר, גאון ודכאון, עמ' </w:t>
      </w:r>
      <w:r w:rsidR="000F3B63">
        <w:rPr>
          <w:rFonts w:hint="cs"/>
          <w:rtl/>
        </w:rPr>
        <w:t>574-572</w:t>
      </w:r>
      <w:r w:rsidRPr="00116782">
        <w:rPr>
          <w:rFonts w:hint="cs"/>
          <w:rtl/>
        </w:rPr>
        <w:t xml:space="preserve">; </w:t>
      </w:r>
      <w:r w:rsidRPr="00116782">
        <w:rPr>
          <w:rtl/>
        </w:rPr>
        <w:t>רוזן, המוסתערבים, עמ' 93</w:t>
      </w:r>
      <w:r w:rsidR="000F3B63">
        <w:rPr>
          <w:rFonts w:hint="cs"/>
          <w:rtl/>
        </w:rPr>
        <w:t>.</w:t>
      </w:r>
    </w:p>
  </w:footnote>
  <w:footnote w:id="87">
    <w:p w:rsidR="003B386C" w:rsidRPr="00116782" w:rsidRDefault="003B386C" w:rsidP="003B386C">
      <w:pPr>
        <w:pStyle w:val="a3"/>
        <w:spacing w:before="120" w:after="120"/>
      </w:pPr>
      <w:r w:rsidRPr="00116782">
        <w:rPr>
          <w:rStyle w:val="a5"/>
        </w:rPr>
        <w:footnoteRef/>
      </w:r>
      <w:r w:rsidRPr="00116782">
        <w:rPr>
          <w:rtl/>
        </w:rPr>
        <w:t xml:space="preserve"> עיבור שנים, דף לב ע"ב.</w:t>
      </w:r>
    </w:p>
  </w:footnote>
  <w:footnote w:id="88">
    <w:p w:rsidR="003B386C" w:rsidRPr="00116782" w:rsidRDefault="003B386C" w:rsidP="000F3B63">
      <w:pPr>
        <w:pStyle w:val="a3"/>
        <w:spacing w:before="120" w:after="120"/>
      </w:pPr>
      <w:r w:rsidRPr="00116782">
        <w:rPr>
          <w:rStyle w:val="a5"/>
        </w:rPr>
        <w:footnoteRef/>
      </w:r>
      <w:r w:rsidRPr="00116782">
        <w:rPr>
          <w:rtl/>
        </w:rPr>
        <w:t xml:space="preserve"> הקר, גאון ודיכאון, עמ' </w:t>
      </w:r>
      <w:r w:rsidR="000F3B63">
        <w:rPr>
          <w:rFonts w:hint="cs"/>
          <w:rtl/>
        </w:rPr>
        <w:t>574-572.</w:t>
      </w:r>
    </w:p>
  </w:footnote>
  <w:footnote w:id="89">
    <w:p w:rsidR="003B386C" w:rsidRPr="00116782" w:rsidRDefault="003B386C" w:rsidP="000F3B63">
      <w:pPr>
        <w:pStyle w:val="a3"/>
        <w:spacing w:before="120" w:after="120"/>
        <w:rPr>
          <w:rtl/>
        </w:rPr>
      </w:pPr>
      <w:r w:rsidRPr="00116782">
        <w:rPr>
          <w:rStyle w:val="a5"/>
        </w:rPr>
        <w:footnoteRef/>
      </w:r>
      <w:r w:rsidR="000F3B63">
        <w:rPr>
          <w:rtl/>
        </w:rPr>
        <w:t xml:space="preserve"> עיבור שנים, דף סא ע"א. ורא</w:t>
      </w:r>
      <w:r w:rsidR="000F3B63">
        <w:rPr>
          <w:rFonts w:hint="cs"/>
          <w:rtl/>
        </w:rPr>
        <w:t>ו</w:t>
      </w:r>
      <w:r w:rsidRPr="00116782">
        <w:rPr>
          <w:rtl/>
        </w:rPr>
        <w:t xml:space="preserve">: רוזן, המוסתערבים, עמ' </w:t>
      </w:r>
      <w:r w:rsidR="000F3B63">
        <w:rPr>
          <w:rFonts w:hint="cs"/>
          <w:rtl/>
        </w:rPr>
        <w:t>94-93.</w:t>
      </w:r>
    </w:p>
  </w:footnote>
  <w:footnote w:id="90">
    <w:p w:rsidR="006D4E29" w:rsidRPr="00766594" w:rsidRDefault="003B386C" w:rsidP="00436FC4">
      <w:pPr>
        <w:pStyle w:val="a3"/>
        <w:spacing w:before="120" w:after="120"/>
        <w:rPr>
          <w:rFonts w:hint="cs"/>
          <w:rtl/>
        </w:rPr>
      </w:pPr>
      <w:r w:rsidRPr="00116782">
        <w:rPr>
          <w:rStyle w:val="a5"/>
        </w:rPr>
        <w:footnoteRef/>
      </w:r>
      <w:r w:rsidRPr="00116782">
        <w:rPr>
          <w:rtl/>
        </w:rPr>
        <w:t xml:space="preserve"> </w:t>
      </w:r>
      <w:r w:rsidRPr="00116782">
        <w:rPr>
          <w:rFonts w:hint="cs"/>
          <w:rtl/>
        </w:rPr>
        <w:t xml:space="preserve">עיבור </w:t>
      </w:r>
      <w:r w:rsidRPr="00766594">
        <w:rPr>
          <w:rFonts w:hint="cs"/>
          <w:rtl/>
        </w:rPr>
        <w:t>שנים, דף נט ע"ב.</w:t>
      </w:r>
      <w:r w:rsidR="000F3B63">
        <w:rPr>
          <w:rFonts w:hint="cs"/>
          <w:rtl/>
        </w:rPr>
        <w:t xml:space="preserve"> וראו</w:t>
      </w:r>
      <w:r w:rsidR="00436FC4">
        <w:rPr>
          <w:rFonts w:hint="cs"/>
          <w:rtl/>
        </w:rPr>
        <w:t>: הקר, גאון ודכאון, עמ' 574.</w:t>
      </w:r>
    </w:p>
  </w:footnote>
  <w:footnote w:id="91">
    <w:p w:rsidR="00AA542E" w:rsidRDefault="00AA542E" w:rsidP="00436FC4">
      <w:pPr>
        <w:pStyle w:val="a3"/>
        <w:rPr>
          <w:rFonts w:hint="cs"/>
        </w:rPr>
      </w:pPr>
      <w:r>
        <w:rPr>
          <w:rStyle w:val="a5"/>
        </w:rPr>
        <w:footnoteRef/>
      </w:r>
      <w:r>
        <w:rPr>
          <w:rtl/>
        </w:rPr>
        <w:t xml:space="preserve"> </w:t>
      </w:r>
      <w:r>
        <w:rPr>
          <w:rFonts w:hint="cs"/>
          <w:rtl/>
        </w:rPr>
        <w:t>ר' חיים יוסף דוד אזולאי, זרע אנשים, הוסיאטין תרס"ב, סי' מד, דף מ ע"א</w:t>
      </w:r>
      <w:r w:rsidR="00111084">
        <w:rPr>
          <w:rFonts w:hint="cs"/>
          <w:rtl/>
        </w:rPr>
        <w:t xml:space="preserve"> </w:t>
      </w:r>
      <w:r w:rsidR="00111084">
        <w:rPr>
          <w:rtl/>
        </w:rPr>
        <w:t>–</w:t>
      </w:r>
      <w:r w:rsidR="00111084">
        <w:rPr>
          <w:rFonts w:hint="cs"/>
          <w:rtl/>
        </w:rPr>
        <w:t xml:space="preserve"> מא ע"א</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2843"/>
    <w:multiLevelType w:val="hybridMultilevel"/>
    <w:tmpl w:val="A1443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6C"/>
    <w:rsid w:val="000C1535"/>
    <w:rsid w:val="000F3B63"/>
    <w:rsid w:val="00111084"/>
    <w:rsid w:val="00242C80"/>
    <w:rsid w:val="002637C8"/>
    <w:rsid w:val="00292860"/>
    <w:rsid w:val="002D4390"/>
    <w:rsid w:val="00386934"/>
    <w:rsid w:val="003B386C"/>
    <w:rsid w:val="00427AEC"/>
    <w:rsid w:val="00436FC4"/>
    <w:rsid w:val="00487181"/>
    <w:rsid w:val="00506D68"/>
    <w:rsid w:val="0057553B"/>
    <w:rsid w:val="00586ECB"/>
    <w:rsid w:val="00673CF2"/>
    <w:rsid w:val="006D4E29"/>
    <w:rsid w:val="007017A9"/>
    <w:rsid w:val="00740088"/>
    <w:rsid w:val="0090194B"/>
    <w:rsid w:val="009B6C6F"/>
    <w:rsid w:val="009B7A1E"/>
    <w:rsid w:val="00A37EA0"/>
    <w:rsid w:val="00AA542E"/>
    <w:rsid w:val="00AE4CD8"/>
    <w:rsid w:val="00BD7E83"/>
    <w:rsid w:val="00C33D6B"/>
    <w:rsid w:val="00C52129"/>
    <w:rsid w:val="00D835FA"/>
    <w:rsid w:val="00DD46B0"/>
    <w:rsid w:val="00E4496D"/>
    <w:rsid w:val="00E554EE"/>
    <w:rsid w:val="00E84D88"/>
    <w:rsid w:val="00EA63C1"/>
    <w:rsid w:val="00F33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6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טקסט הערות שוליים תו תו תו,Footnote Text תו תו,טקסט הערות שוליים תו תו,Footnote Text תו תו תו,טקסט הערות שוליים תו תו תו תו תו תו תו,טקסט הערות שוליים תו תו תו תו תו תו תו תו,טקסט הערות שוליים תו תו תו תו תו תו תו תו תו תו תו"/>
    <w:basedOn w:val="a"/>
    <w:link w:val="a4"/>
    <w:semiHidden/>
    <w:rsid w:val="003B386C"/>
    <w:rPr>
      <w:sz w:val="20"/>
      <w:szCs w:val="20"/>
    </w:rPr>
  </w:style>
  <w:style w:type="character" w:customStyle="1" w:styleId="a4">
    <w:name w:val="טקסט הערת שוליים תו"/>
    <w:aliases w:val="טקסט הערות שוליים תו תו תו תו,Footnote Text תו תו תו1,טקסט הערות שוליים תו תו תו1,Footnote Text תו תו תו תו,טקסט הערות שוליים תו תו תו תו תו תו תו תו1,טקסט הערות שוליים תו תו תו תו תו תו תו תו תו,טקסט הערות שוליים תו תו תו תו תו תו2"/>
    <w:basedOn w:val="a0"/>
    <w:link w:val="a3"/>
    <w:rsid w:val="003B386C"/>
    <w:rPr>
      <w:rFonts w:ascii="Times New Roman" w:eastAsia="Times New Roman" w:hAnsi="Times New Roman" w:cs="Times New Roman"/>
      <w:sz w:val="20"/>
      <w:szCs w:val="20"/>
    </w:rPr>
  </w:style>
  <w:style w:type="character" w:styleId="a5">
    <w:name w:val="footnote reference"/>
    <w:semiHidden/>
    <w:rsid w:val="003B386C"/>
    <w:rPr>
      <w:vertAlign w:val="superscript"/>
    </w:rPr>
  </w:style>
  <w:style w:type="character" w:customStyle="1" w:styleId="a6">
    <w:name w:val="כותרת תחתונה תו"/>
    <w:link w:val="a7"/>
    <w:uiPriority w:val="99"/>
    <w:locked/>
    <w:rsid w:val="00740088"/>
    <w:rPr>
      <w:sz w:val="24"/>
      <w:szCs w:val="24"/>
      <w:lang w:eastAsia="he-IL"/>
    </w:rPr>
  </w:style>
  <w:style w:type="paragraph" w:styleId="a7">
    <w:name w:val="footer"/>
    <w:basedOn w:val="a"/>
    <w:link w:val="a6"/>
    <w:uiPriority w:val="99"/>
    <w:rsid w:val="00740088"/>
    <w:pPr>
      <w:tabs>
        <w:tab w:val="center" w:pos="4153"/>
        <w:tab w:val="right" w:pos="8306"/>
      </w:tabs>
    </w:pPr>
    <w:rPr>
      <w:rFonts w:asciiTheme="minorHAnsi" w:eastAsiaTheme="minorHAnsi" w:hAnsiTheme="minorHAnsi" w:cstheme="minorBidi"/>
      <w:lang w:eastAsia="he-IL"/>
    </w:rPr>
  </w:style>
  <w:style w:type="character" w:customStyle="1" w:styleId="1">
    <w:name w:val="כותרת תחתונה תו1"/>
    <w:basedOn w:val="a0"/>
    <w:uiPriority w:val="99"/>
    <w:semiHidden/>
    <w:rsid w:val="00740088"/>
    <w:rPr>
      <w:rFonts w:ascii="Times New Roman" w:eastAsia="Times New Roman" w:hAnsi="Times New Roman" w:cs="Times New Roman"/>
      <w:sz w:val="24"/>
      <w:szCs w:val="24"/>
    </w:rPr>
  </w:style>
  <w:style w:type="paragraph" w:styleId="NormalWeb">
    <w:name w:val="Normal (Web)"/>
    <w:basedOn w:val="a"/>
    <w:uiPriority w:val="99"/>
    <w:semiHidden/>
    <w:unhideWhenUsed/>
    <w:rsid w:val="00E84D88"/>
    <w:pPr>
      <w:bidi w:val="0"/>
      <w:spacing w:before="100" w:beforeAutospacing="1" w:after="100" w:afterAutospacing="1"/>
    </w:pPr>
    <w:rPr>
      <w:rFonts w:eastAsiaTheme="minorEastAsia"/>
    </w:rPr>
  </w:style>
  <w:style w:type="paragraph" w:styleId="a8">
    <w:name w:val="List Paragraph"/>
    <w:basedOn w:val="a"/>
    <w:uiPriority w:val="34"/>
    <w:qFormat/>
    <w:rsid w:val="00292860"/>
    <w:pPr>
      <w:ind w:left="720"/>
      <w:contextualSpacing/>
    </w:pPr>
  </w:style>
  <w:style w:type="paragraph" w:styleId="a9">
    <w:name w:val="Balloon Text"/>
    <w:basedOn w:val="a"/>
    <w:link w:val="aa"/>
    <w:uiPriority w:val="99"/>
    <w:semiHidden/>
    <w:unhideWhenUsed/>
    <w:rsid w:val="00C33D6B"/>
    <w:rPr>
      <w:rFonts w:ascii="Tahoma" w:hAnsi="Tahoma" w:cs="Tahoma"/>
      <w:sz w:val="16"/>
      <w:szCs w:val="16"/>
    </w:rPr>
  </w:style>
  <w:style w:type="character" w:customStyle="1" w:styleId="aa">
    <w:name w:val="טקסט בלונים תו"/>
    <w:basedOn w:val="a0"/>
    <w:link w:val="a9"/>
    <w:uiPriority w:val="99"/>
    <w:semiHidden/>
    <w:rsid w:val="00C33D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86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טקסט הערות שוליים תו תו תו,Footnote Text תו תו,טקסט הערות שוליים תו תו,Footnote Text תו תו תו,טקסט הערות שוליים תו תו תו תו תו תו תו,טקסט הערות שוליים תו תו תו תו תו תו תו תו,טקסט הערות שוליים תו תו תו תו תו תו תו תו תו תו תו"/>
    <w:basedOn w:val="a"/>
    <w:link w:val="a4"/>
    <w:semiHidden/>
    <w:rsid w:val="003B386C"/>
    <w:rPr>
      <w:sz w:val="20"/>
      <w:szCs w:val="20"/>
    </w:rPr>
  </w:style>
  <w:style w:type="character" w:customStyle="1" w:styleId="a4">
    <w:name w:val="טקסט הערת שוליים תו"/>
    <w:aliases w:val="טקסט הערות שוליים תו תו תו תו,Footnote Text תו תו תו1,טקסט הערות שוליים תו תו תו1,Footnote Text תו תו תו תו,טקסט הערות שוליים תו תו תו תו תו תו תו תו1,טקסט הערות שוליים תו תו תו תו תו תו תו תו תו,טקסט הערות שוליים תו תו תו תו תו תו2"/>
    <w:basedOn w:val="a0"/>
    <w:link w:val="a3"/>
    <w:rsid w:val="003B386C"/>
    <w:rPr>
      <w:rFonts w:ascii="Times New Roman" w:eastAsia="Times New Roman" w:hAnsi="Times New Roman" w:cs="Times New Roman"/>
      <w:sz w:val="20"/>
      <w:szCs w:val="20"/>
    </w:rPr>
  </w:style>
  <w:style w:type="character" w:styleId="a5">
    <w:name w:val="footnote reference"/>
    <w:semiHidden/>
    <w:rsid w:val="003B386C"/>
    <w:rPr>
      <w:vertAlign w:val="superscript"/>
    </w:rPr>
  </w:style>
  <w:style w:type="character" w:customStyle="1" w:styleId="a6">
    <w:name w:val="כותרת תחתונה תו"/>
    <w:link w:val="a7"/>
    <w:uiPriority w:val="99"/>
    <w:locked/>
    <w:rsid w:val="00740088"/>
    <w:rPr>
      <w:sz w:val="24"/>
      <w:szCs w:val="24"/>
      <w:lang w:eastAsia="he-IL"/>
    </w:rPr>
  </w:style>
  <w:style w:type="paragraph" w:styleId="a7">
    <w:name w:val="footer"/>
    <w:basedOn w:val="a"/>
    <w:link w:val="a6"/>
    <w:uiPriority w:val="99"/>
    <w:rsid w:val="00740088"/>
    <w:pPr>
      <w:tabs>
        <w:tab w:val="center" w:pos="4153"/>
        <w:tab w:val="right" w:pos="8306"/>
      </w:tabs>
    </w:pPr>
    <w:rPr>
      <w:rFonts w:asciiTheme="minorHAnsi" w:eastAsiaTheme="minorHAnsi" w:hAnsiTheme="minorHAnsi" w:cstheme="minorBidi"/>
      <w:lang w:eastAsia="he-IL"/>
    </w:rPr>
  </w:style>
  <w:style w:type="character" w:customStyle="1" w:styleId="1">
    <w:name w:val="כותרת תחתונה תו1"/>
    <w:basedOn w:val="a0"/>
    <w:uiPriority w:val="99"/>
    <w:semiHidden/>
    <w:rsid w:val="00740088"/>
    <w:rPr>
      <w:rFonts w:ascii="Times New Roman" w:eastAsia="Times New Roman" w:hAnsi="Times New Roman" w:cs="Times New Roman"/>
      <w:sz w:val="24"/>
      <w:szCs w:val="24"/>
    </w:rPr>
  </w:style>
  <w:style w:type="paragraph" w:styleId="NormalWeb">
    <w:name w:val="Normal (Web)"/>
    <w:basedOn w:val="a"/>
    <w:uiPriority w:val="99"/>
    <w:semiHidden/>
    <w:unhideWhenUsed/>
    <w:rsid w:val="00E84D88"/>
    <w:pPr>
      <w:bidi w:val="0"/>
      <w:spacing w:before="100" w:beforeAutospacing="1" w:after="100" w:afterAutospacing="1"/>
    </w:pPr>
    <w:rPr>
      <w:rFonts w:eastAsiaTheme="minorEastAsia"/>
    </w:rPr>
  </w:style>
  <w:style w:type="paragraph" w:styleId="a8">
    <w:name w:val="List Paragraph"/>
    <w:basedOn w:val="a"/>
    <w:uiPriority w:val="34"/>
    <w:qFormat/>
    <w:rsid w:val="00292860"/>
    <w:pPr>
      <w:ind w:left="720"/>
      <w:contextualSpacing/>
    </w:pPr>
  </w:style>
  <w:style w:type="paragraph" w:styleId="a9">
    <w:name w:val="Balloon Text"/>
    <w:basedOn w:val="a"/>
    <w:link w:val="aa"/>
    <w:uiPriority w:val="99"/>
    <w:semiHidden/>
    <w:unhideWhenUsed/>
    <w:rsid w:val="00C33D6B"/>
    <w:rPr>
      <w:rFonts w:ascii="Tahoma" w:hAnsi="Tahoma" w:cs="Tahoma"/>
      <w:sz w:val="16"/>
      <w:szCs w:val="16"/>
    </w:rPr>
  </w:style>
  <w:style w:type="character" w:customStyle="1" w:styleId="aa">
    <w:name w:val="טקסט בלונים תו"/>
    <w:basedOn w:val="a0"/>
    <w:link w:val="a9"/>
    <w:uiPriority w:val="99"/>
    <w:semiHidden/>
    <w:rsid w:val="00C33D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3419</Words>
  <Characters>17099</Characters>
  <Application>Microsoft Office Word</Application>
  <DocSecurity>0</DocSecurity>
  <Lines>142</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דודסון איל , ד"ר</dc:creator>
  <cp:lastModifiedBy>Davidson</cp:lastModifiedBy>
  <cp:revision>2</cp:revision>
  <dcterms:created xsi:type="dcterms:W3CDTF">2013-09-30T12:34:00Z</dcterms:created>
  <dcterms:modified xsi:type="dcterms:W3CDTF">2013-09-30T12:34:00Z</dcterms:modified>
</cp:coreProperties>
</file>